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The product rule</w:t>
      </w:r>
    </w:p>
    <w:p>
      <w:pPr>
        <w:pStyle w:val="Author"/>
      </w:pPr>
      <w:r>
        <w:t xml:space="preserve">Sara Delgado Garcia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product rule.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The product rule.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t xml:space="preserve">In this question set, the following definitions are used: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cosh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sup>
              </m:sSup>
            </m:num>
            <m:den>
              <m:r>
                <m:t>2</m:t>
              </m:r>
            </m:den>
          </m:f>
          <m:r>
            <m:t> </m:t>
          </m:r>
          <m:r>
            <m:rPr>
              <m:nor/>
              <m:sty m:val="p"/>
              <m:scr m:val="sans-serif"/>
            </m:rPr>
            <m:t> and </m:t>
          </m:r>
          <m:r>
            <m:t> </m:t>
          </m:r>
          <m:r>
            <m:rPr>
              <m:sty m:val="p"/>
            </m:rPr>
            <m:t>sinh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sup>
              </m:sSup>
            </m:num>
            <m:den>
              <m:r>
                <m:t>2</m:t>
              </m:r>
            </m:den>
          </m:f>
        </m:oMath>
      </m:oMathPara>
    </w:p>
    <w:p>
      <w:pPr>
        <w:pStyle w:val="FirstParagraph"/>
      </w:pPr>
      <w:r>
        <w:t xml:space="preserve">These are</w:t>
      </w:r>
      <w:r>
        <w:t xml:space="preserve"> </w:t>
      </w:r>
      <w:r>
        <w:rPr>
          <w:b/>
          <w:bCs/>
        </w:rPr>
        <w:t xml:space="preserve">hyperbolic trigonometric functions</w:t>
      </w:r>
      <w:r>
        <w:t xml:space="preserve">; for more about these, see [Guide: Introduction to hyperbolic functions].</w:t>
      </w:r>
    </w:p>
    <w:p>
      <w:pPr>
        <w:pStyle w:val="BodyText"/>
      </w:pPr>
      <w:r>
        <w:t xml:space="preserve">Differentiate the following functions using the product rule.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r>
          <m:t>x</m:t>
        </m:r>
        <m:sSup>
          <m:e>
            <m:r>
              <m:t>e</m:t>
            </m:r>
          </m:e>
          <m:sup>
            <m:r>
              <m:t>x</m:t>
            </m:r>
          </m:sup>
        </m:sSup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13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10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21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rPr>
            <m:sty m:val="p"/>
          </m:rPr>
          <m:t>cosh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</m:oMath>
    </w:p>
    <w:p>
      <w:pPr>
        <w:pStyle w:val="BodyText"/>
      </w:pPr>
      <w:r>
        <w:t xml:space="preserve">1.10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1.11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ad>
          <m:radPr>
            <m:degHide m:val="on"/>
          </m:radPr>
          <m:deg/>
          <m:e>
            <m:r>
              <m:t>x</m:t>
            </m:r>
          </m:e>
        </m:rad>
      </m:oMath>
    </w:p>
    <w:p>
      <w:pPr>
        <w:pStyle w:val="BodyText"/>
      </w:pPr>
      <w:r>
        <w:t xml:space="preserve">1.12</w:t>
      </w:r>
      <w:r>
        <w:t xml:space="preserve"> </w:t>
      </w:r>
      <m:oMath>
        <m:r>
          <m:t> </m:t>
        </m:r>
        <m:r>
          <m:rPr>
            <m:sty m:val="p"/>
          </m:rPr>
          <m:t>cosh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ad>
          <m:radPr>
            <m:degHide m:val="on"/>
          </m:radPr>
          <m:deg/>
          <m:e>
            <m:r>
              <m:t>x</m:t>
            </m:r>
          </m:e>
        </m:rad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100</m:t>
            </m:r>
            <m:r>
              <m:t>x</m:t>
            </m:r>
          </m:e>
        </m:d>
      </m:oMath>
    </w:p>
    <w:p>
      <w:pPr>
        <w:pStyle w:val="BodyText"/>
      </w:pPr>
      <w:r>
        <w:t xml:space="preserve">1.17.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1.18.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</m:oMath>
    </w:p>
    <w:p>
      <w:pPr>
        <w:pStyle w:val="BodyText"/>
      </w:pPr>
      <w:r>
        <w:t xml:space="preserve">1.19.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7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e>
        </m:d>
      </m:oMath>
    </w:p>
    <w:p>
      <w:pPr>
        <w:pStyle w:val="BodyText"/>
      </w:pPr>
      <w:r>
        <w:t xml:space="preserve">1.20.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x</m:t>
            </m:r>
          </m:sup>
        </m:sSup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1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Start w:id="23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Sara Delgado Garcia as part of a University of St Andrews VIP project.</w:t>
      </w:r>
    </w:p>
    <w:p>
      <w:pPr>
        <w:pStyle w:val="BodyText"/>
      </w:pPr>
      <w:hyperlink r:id="rId22">
        <w:r>
          <w:rPr>
            <w:rStyle w:val="Hyperlink"/>
          </w:rPr>
          <w:t xml:space="preserve">This work is licensed under CC BY-NC-SA 4.0.</w:t>
        </w:r>
      </w:hyperlink>
    </w:p>
    <w:bookmarkEnd w:id="2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../answers/as-productrule.qmd" TargetMode="External" /><Relationship Type="http://schemas.openxmlformats.org/officeDocument/2006/relationships/hyperlink" Id="rId20" Target="../studyguides/productrule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nswers/as-productrule.qmd" TargetMode="External" /><Relationship Type="http://schemas.openxmlformats.org/officeDocument/2006/relationships/hyperlink" Id="rId20" Target="../studyguides/productrule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The product rule</dc:title>
  <dc:creator>Sara Delgado Garcia</dc:creator>
  <cp:keywords/>
  <dcterms:created xsi:type="dcterms:W3CDTF">2026-04-16T12:41:32Z</dcterms:created>
  <dcterms:modified xsi:type="dcterms:W3CDTF">2026-04-16T12:41:32Z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product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