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vectors</w:t>
      </w:r>
    </w:p>
    <w:p>
      <w:pPr>
        <w:pStyle w:val="Author"/>
      </w:pPr>
      <w:r>
        <w:t xml:space="preserve">Zheng Chen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introduction to vectors.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vectors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Find the magnitude of the following vectors.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rPr>
            <m:sty m:val="b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6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b"/>
          </m:rPr>
          <m:t>c</m:t>
        </m:r>
        <m:r>
          <m:rPr>
            <m:sty m:val="p"/>
          </m:rPr>
          <m:t>=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rPr>
            <m:sty m:val="b"/>
          </m:rPr>
          <m:t>d</m:t>
        </m:r>
        <m:r>
          <m:rPr>
            <m:sty m:val="p"/>
          </m:rPr>
          <m:t>=</m:t>
        </m:r>
        <m:r>
          <m:t>5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b"/>
          </m:rPr>
          <m:t>e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rPr>
            <m:sty m:val="b"/>
          </m:rPr>
          <m:t>f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6</m:t>
                  </m:r>
                </m:e>
              </m:mr>
              <m:mr>
                <m:e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b"/>
          </m:rPr>
          <m:t>g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b"/>
          </m:rPr>
          <m:t>h</m:t>
        </m:r>
        <m:r>
          <m:rPr>
            <m:sty m:val="p"/>
          </m:rPr>
          <m:t>=</m:t>
        </m:r>
        <m:r>
          <m:t>6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2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rPr>
            <m:sty m:val="b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rPr>
            <m:sty m:val="b"/>
          </m:rPr>
          <m:t>n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rPr>
            <m:sty m:val="b"/>
          </m:rPr>
          <m:t>p</m:t>
        </m:r>
        <m:r>
          <m:rPr>
            <m:sty m:val="p"/>
          </m:rPr>
          <m:t>=</m:t>
        </m:r>
        <m:r>
          <m:t>8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16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b"/>
          </m:rP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14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7</m:t>
                  </m:r>
                </m:e>
              </m:mr>
              <m:mr>
                <m:e>
                  <m: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12</m:t>
                  </m:r>
                </m:e>
              </m:mr>
              <m:mr>
                <m:e>
                  <m:r>
                    <m:t>9</m:t>
                  </m:r>
                </m:e>
              </m:mr>
              <m:mr>
                <m:e>
                  <m:r>
                    <m:t>8</m:t>
                  </m:r>
                </m:e>
              </m:mr>
            </m:m>
          </m:e>
        </m:d>
      </m:oMath>
    </w:p>
    <w:bookmarkEnd w:id="21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Find the unit vectors in the directions of the following vectors.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b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6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rPr>
            <m:sty m:val="b"/>
          </m:rPr>
          <m:t>c</m:t>
        </m:r>
        <m:r>
          <m:rPr>
            <m:sty m:val="p"/>
          </m:rPr>
          <m:t>=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rPr>
            <m:sty m:val="b"/>
          </m:rPr>
          <m:t>d</m:t>
        </m:r>
        <m:r>
          <m:rPr>
            <m:sty m:val="p"/>
          </m:rPr>
          <m:t>=</m:t>
        </m:r>
        <m:r>
          <m:t>4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rPr>
            <m:sty m:val="b"/>
          </m:rPr>
          <m:t>e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</m:mr>
              <m:mr>
                <m:e>
                  <m:r>
                    <m:t>0</m:t>
                  </m:r>
                </m:e>
              </m:mr>
              <m:mr>
                <m:e>
                  <m:r>
                    <m:t>2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b"/>
          </m:rPr>
          <m:t>f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rPr>
            <m:sty m:val="b"/>
          </m:rPr>
          <m:t>g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mr>
              <m:mr>
                <m:e>
                  <m:r>
                    <m:t>0</m:t>
                  </m:r>
                </m:e>
              </m:mr>
              <m:mr>
                <m:e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e>
              </m:mr>
            </m:m>
          </m:e>
        </m:d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rPr>
            <m:sty m:val="b"/>
          </m:rPr>
          <m:t>h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1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1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b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rPr>
            <m:sty m:val="b"/>
          </m:rPr>
          <m:t>n</m:t>
        </m:r>
        <m:r>
          <m:rPr>
            <m:sty m:val="p"/>
          </m:rPr>
          <m:t>=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6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9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rPr>
            <m:sty m:val="b"/>
          </m:rPr>
          <m:t>p</m:t>
        </m:r>
        <m:r>
          <m:rPr>
            <m:sty m:val="p"/>
          </m:rPr>
          <m:t>=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5</m:t>
        </m:r>
        <m:r>
          <m:rPr>
            <m:sty m:val="b"/>
          </m:rPr>
          <m:t>k</m:t>
        </m:r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r>
          <m:rPr>
            <m:sty m:val="b"/>
          </m:rPr>
          <m:t>q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12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4</m:t>
                  </m:r>
                </m:e>
              </m:mr>
              <m:mr>
                <m:e>
                  <m:r>
                    <m:t>8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2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Zheng Chen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../answers/as-introductiontovectors.qmd" TargetMode="External" /><Relationship Type="http://schemas.openxmlformats.org/officeDocument/2006/relationships/hyperlink" Id="rId20" Target="../studyguides/introductiontovector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../answers/as-introductiontovectors.qmd" TargetMode="External" /><Relationship Type="http://schemas.openxmlformats.org/officeDocument/2006/relationships/hyperlink" Id="rId20" Target="../studyguides/introductiontovector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vectors</dc:title>
  <dc:creator>Zheng Chen</dc:creator>
  <cp:keywords/>
  <dcterms:created xsi:type="dcterms:W3CDTF">2026-04-16T12:41:09Z</dcterms:created>
  <dcterms:modified xsi:type="dcterms:W3CDTF">2026-04-16T12:41:09Z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introduction to vectors.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