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Questions: The chain rule</w:t>
      </w:r>
    </w:p>
    <w:p>
      <w:pPr>
        <w:pStyle w:val="Author"/>
      </w:pPr>
      <w:r>
        <w:t xml:space="preserve">Sara Delgado Garcia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 selection of questions for the study guide on the chain rule.</w:t>
      </w:r>
    </w:p>
    <w:p>
      <w:pPr>
        <w:pStyle w:val="FirstParagraph"/>
      </w:pPr>
      <w:r>
        <w:rPr>
          <w:i/>
          <w:iCs/>
        </w:rPr>
        <w:t xml:space="preserve">Before attempting these questions, it is highly recommended that you read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Guide: The chain rule.</w:t>
        </w:r>
      </w:hyperlink>
      <w:r>
        <w:rPr>
          <w:i/>
          <w:iCs/>
        </w:rPr>
        <w:t xml:space="preserve">.</w:t>
      </w:r>
    </w:p>
    <w:p>
      <w:pPr>
        <w:pStyle w:val="BodyText"/>
      </w:pPr>
      <w:r>
        <w:t xml:space="preserve">Differentiate the following functions using the chain rule.</w:t>
      </w:r>
    </w:p>
    <w:p>
      <w:pPr>
        <w:pStyle w:val="BodyText"/>
      </w:pPr>
      <w:r>
        <w:t xml:space="preserve">1.1.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1</m:t>
            </m:r>
          </m:num>
          <m:den>
            <m:r>
              <m:t>7</m:t>
            </m:r>
          </m:den>
        </m:f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5</m:t>
            </m:r>
            <m:r>
              <m:rPr>
                <m:sty m:val="p"/>
              </m:rPr>
              <m:t>+</m:t>
            </m:r>
            <m:r>
              <m:t>4</m:t>
            </m:r>
            <m:r>
              <m:t>x</m:t>
            </m:r>
          </m:e>
        </m:d>
      </m:oMath>
    </w:p>
    <w:p>
      <w:pPr>
        <w:pStyle w:val="BodyText"/>
      </w:pPr>
      <w:r>
        <w:t xml:space="preserve">1.2.</w:t>
      </w:r>
      <w:r>
        <w:t xml:space="preserve"> </w:t>
      </w:r>
      <m:oMath>
        <m:r>
          <m:t> </m:t>
        </m:r>
        <m:r>
          <m:t>4</m:t>
        </m:r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</m:e>
        </m:d>
      </m:oMath>
    </w:p>
    <w:p>
      <w:pPr>
        <w:pStyle w:val="BodyText"/>
      </w:pPr>
      <w:r>
        <w:t xml:space="preserve">1.3.</w:t>
      </w:r>
      <w:r>
        <w:t xml:space="preserve"> </w:t>
      </w:r>
      <m:oMath>
        <m:r>
          <m:t> </m:t>
        </m:r>
        <m:sSup>
          <m:e>
            <m:r>
              <m:t>e</m:t>
            </m:r>
          </m:e>
          <m:sup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5</m:t>
            </m:r>
          </m:sup>
        </m:sSup>
      </m:oMath>
    </w:p>
    <w:p>
      <w:pPr>
        <w:pStyle w:val="BodyText"/>
      </w:pPr>
      <w:r>
        <w:t xml:space="preserve">1.4.</w:t>
      </w:r>
      <w:r>
        <w:t xml:space="preserve"> </w:t>
      </w:r>
      <m:oMath>
        <m:r>
          <m:t> </m:t>
        </m:r>
        <m:r>
          <m:t>2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r>
                  <m:rPr>
                    <m:sty m:val="p"/>
                  </m:rPr>
                  <m:t>sin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2</m:t>
                    </m:r>
                    <m:r>
                      <m:t>x</m:t>
                    </m:r>
                  </m:e>
                </m:d>
              </m:e>
            </m:d>
          </m:e>
          <m:sup>
            <m:r>
              <m:t>2</m:t>
            </m:r>
          </m:sup>
        </m:sSup>
      </m:oMath>
    </w:p>
    <w:p>
      <w:pPr>
        <w:pStyle w:val="BodyText"/>
      </w:pPr>
      <w:r>
        <w:t xml:space="preserve">1.5.</w:t>
      </w:r>
      <w:r>
        <w:t xml:space="preserve"> </w:t>
      </w:r>
      <m:oMath>
        <m:r>
          <m:t> </m:t>
        </m:r>
        <m:sSup>
          <m:e>
            <m:r>
              <m:t>e</m:t>
            </m:r>
          </m:e>
          <m:sup>
            <m:r>
              <m:rPr>
                <m:sty m:val="p"/>
              </m:rPr>
              <m:t>sin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3</m:t>
                </m:r>
                <m:r>
                  <m:t>x</m:t>
                </m:r>
              </m:e>
            </m:d>
          </m:sup>
        </m:sSup>
      </m:oMath>
    </w:p>
    <w:p>
      <w:pPr>
        <w:pStyle w:val="BodyText"/>
      </w:pPr>
      <w:r>
        <w:t xml:space="preserve">1.6.</w:t>
      </w:r>
      <w:r>
        <w:t xml:space="preserve"> </w:t>
      </w:r>
      <m:oMath>
        <m:r>
          <m:t> </m:t>
        </m:r>
        <m:r>
          <m:rPr>
            <m:sty m:val="p"/>
          </m:rPr>
          <m:t>ln</m:t>
        </m:r>
        <m:r>
          <m:rPr>
            <m:sty m:val="p"/>
          </m:rPr>
          <m:t>(</m:t>
        </m:r>
        <m:r>
          <m:t>2</m:t>
        </m:r>
        <m:r>
          <m:rPr>
            <m:sty m:val="p"/>
          </m:rPr>
          <m:t>+</m:t>
        </m:r>
        <m:r>
          <m:t>4</m:t>
        </m:r>
        <m:sSup>
          <m:e>
            <m:r>
              <m:t>x</m:t>
            </m:r>
          </m:e>
          <m:sup>
            <m:r>
              <m:rPr>
                <m:sty m:val="p"/>
              </m:rPr>
              <m:t>−</m:t>
            </m:r>
            <m:r>
              <m:t>2</m:t>
            </m:r>
          </m:sup>
        </m:sSup>
        <m:sSup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−</m:t>
            </m:r>
            <m:r>
              <m:t>1</m:t>
            </m:r>
          </m:sup>
        </m:sSup>
      </m:oMath>
    </w:p>
    <w:p>
      <w:pPr>
        <w:pStyle w:val="BodyText"/>
      </w:pPr>
      <w:r>
        <w:t xml:space="preserve">1.7.</w:t>
      </w:r>
      <w:r>
        <w:t xml:space="preserve"> </w:t>
      </w:r>
      <m:oMath>
        <m:r>
          <m:t> </m:t>
        </m:r>
        <m:sSup>
          <m:e>
            <m:r>
              <m:t>e</m:t>
            </m:r>
          </m:e>
          <m:sup>
            <m:r>
              <m:t>5</m:t>
            </m:r>
            <m:sSup>
              <m:e>
                <m:r>
                  <m:t>x</m:t>
                </m:r>
              </m:e>
              <m:sup>
                <m:r>
                  <m:t>4</m:t>
                </m:r>
              </m:sup>
            </m:sSup>
          </m:sup>
        </m:sSup>
      </m:oMath>
      <w:r>
        <w:t xml:space="preserve"> </w:t>
      </w:r>
      <w:r>
        <w:t xml:space="preserve">changed</w:t>
      </w:r>
    </w:p>
    <w:p>
      <w:pPr>
        <w:pStyle w:val="BodyText"/>
      </w:pPr>
      <w:r>
        <w:t xml:space="preserve">1.8.</w:t>
      </w:r>
      <w:r>
        <w:t xml:space="preserve"> </w:t>
      </w:r>
      <m:oMath>
        <m:r>
          <m:t> </m:t>
        </m:r>
        <m:sSup>
          <m:e>
            <m:r>
              <m:t>e</m:t>
            </m:r>
          </m:e>
          <m:sup>
            <m:r>
              <m:t>2</m:t>
            </m:r>
            <m:sSup>
              <m:e>
                <m:r>
                  <m:t>x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t>3</m:t>
                </m:r>
              </m:sup>
            </m:sSup>
          </m:sup>
        </m:sSup>
      </m:oMath>
      <w:r>
        <w:t xml:space="preserve"> </w:t>
      </w:r>
      <w:r>
        <w:t xml:space="preserve">changed</w:t>
      </w:r>
    </w:p>
    <w:p>
      <w:pPr>
        <w:pStyle w:val="BodyText"/>
      </w:pPr>
      <w:r>
        <w:t xml:space="preserve">1.9.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r>
          <m:t>5</m:t>
        </m:r>
        <m:rad>
          <m:radPr>
            <m:degHide m:val="on"/>
          </m:radPr>
          <m:deg/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rad>
      </m:oMath>
    </w:p>
    <w:p>
      <w:pPr>
        <w:pStyle w:val="BodyText"/>
      </w:pPr>
      <w:r>
        <w:t xml:space="preserve">1.10.</w:t>
      </w:r>
      <w:r>
        <w:t xml:space="preserve"> </w:t>
      </w:r>
      <m:oMath>
        <m:r>
          <m:t> </m:t>
        </m:r>
        <m:rad>
          <m:radPr>
            <m:degHide m:val="on"/>
          </m:radPr>
          <m:deg/>
          <m:e>
            <m:sSup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  <m:r>
                      <m:rPr>
                        <m:sty m:val="p"/>
                      </m:rPr>
                      <m:t>+</m:t>
                    </m:r>
                    <m:r>
                      <m:t>3</m:t>
                    </m:r>
                  </m:e>
                </m:d>
              </m:e>
              <m:sup>
                <m:r>
                  <m:t>2</m:t>
                </m:r>
              </m:sup>
            </m:sSup>
          </m:e>
        </m:rad>
      </m:oMath>
    </w:p>
    <w:p>
      <w:pPr>
        <w:pStyle w:val="BodyText"/>
      </w:pPr>
      <w:r>
        <w:t xml:space="preserve">1.11.</w:t>
      </w:r>
      <w:r>
        <w:t xml:space="preserve"> </w:t>
      </w:r>
      <m:oMath>
        <m:r>
          <m:t> </m:t>
        </m:r>
        <m:r>
          <m:rPr>
            <m:sty m:val="p"/>
          </m:rPr>
          <m:t>ln</m:t>
        </m:r>
        <m:d>
          <m:dPr>
            <m:begChr m:val="("/>
            <m:sepChr m:val=""/>
            <m:endChr m:val=")"/>
            <m:grow/>
          </m:dPr>
          <m:e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1</m:t>
            </m:r>
          </m:e>
        </m:d>
      </m:oMath>
    </w:p>
    <w:p>
      <w:pPr>
        <w:pStyle w:val="BodyText"/>
      </w:pPr>
      <w:r>
        <w:t xml:space="preserve">1.12.</w:t>
      </w:r>
      <w:r>
        <w:t xml:space="preserve"> </w:t>
      </w:r>
      <m:oMath>
        <m:r>
          <m:t> </m:t>
        </m:r>
        <m:r>
          <m:rPr>
            <m:sty m:val="p"/>
          </m:rPr>
          <m:t>ln</m:t>
        </m:r>
        <m:d>
          <m:dPr>
            <m:begChr m:val="("/>
            <m:sepChr m:val=""/>
            <m:endChr m:val=")"/>
            <m:grow/>
          </m:dPr>
          <m:e>
            <m:r>
              <m:rPr>
                <m:sty m:val="p"/>
              </m:rPr>
              <m:t>cos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</m:e>
            </m:d>
          </m:e>
        </m:d>
      </m:oMath>
      <w:r>
        <w:t xml:space="preserve">.</w:t>
      </w:r>
    </w:p>
    <w:p>
      <w:pPr>
        <w:pStyle w:val="BodyText"/>
      </w:pPr>
      <w:r>
        <w:t xml:space="preserve">1.13.</w:t>
      </w:r>
      <w:r>
        <w:t xml:space="preserve"> </w:t>
      </w:r>
      <m:oMath>
        <m:r>
          <m:t> </m:t>
        </m:r>
        <m:r>
          <m:t>2</m:t>
        </m:r>
        <m:sSup>
          <m:e>
            <m:r>
              <m:rPr>
                <m:sty m:val="p"/>
              </m:rPr>
              <m:t>cos</m:t>
            </m:r>
          </m:e>
          <m:sup>
            <m:r>
              <m:t>2</m:t>
            </m:r>
          </m:sup>
        </m:sSup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</m:oMath>
      <w:r>
        <w:t xml:space="preserve">.</w:t>
      </w:r>
    </w:p>
    <w:p>
      <w:pPr>
        <w:pStyle w:val="BodyText"/>
      </w:pPr>
      <w:r>
        <w:t xml:space="preserve">1.14.</w:t>
      </w:r>
      <w:r>
        <w:t xml:space="preserve"> </w:t>
      </w:r>
      <m:oMath>
        <m:r>
          <m:t> </m:t>
        </m:r>
        <m:r>
          <m:t>2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sSup>
                  <m:e>
                    <m:r>
                      <m:t>x</m:t>
                    </m:r>
                  </m:e>
                  <m:sup>
                    <m:r>
                      <m:t>3</m:t>
                    </m:r>
                  </m:sup>
                </m:sSup>
                <m:r>
                  <m:rPr>
                    <m:sty m:val="p"/>
                  </m:rPr>
                  <m:t>+</m:t>
                </m:r>
                <m:r>
                  <m:t>5</m:t>
                </m:r>
                <m:sSup>
                  <m:e>
                    <m:r>
                      <m:t>x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+</m:t>
                </m:r>
                <m:r>
                  <m:t>13</m:t>
                </m:r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1</m:t>
                </m:r>
              </m:e>
            </m:d>
          </m:e>
          <m:sup>
            <m:r>
              <m:t>3</m:t>
            </m:r>
          </m:sup>
        </m:sSup>
      </m:oMath>
      <w:r>
        <w:t xml:space="preserve">.</w:t>
      </w:r>
    </w:p>
    <w:p>
      <w:pPr>
        <w:pStyle w:val="BodyText"/>
      </w:pPr>
      <w:r>
        <w:t xml:space="preserve">1.15.</w:t>
      </w:r>
      <w:r>
        <w:t xml:space="preserve"> </w:t>
      </w:r>
      <m:oMath>
        <m:r>
          <m:t> </m:t>
        </m:r>
        <m:rad>
          <m:radPr>
            <m:degHide m:val="on"/>
          </m:radPr>
          <m:deg/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  <m:r>
                  <m:t>x</m:t>
                </m:r>
              </m:den>
            </m:f>
          </m:e>
        </m:rad>
      </m:oMath>
      <w:r>
        <w:t xml:space="preserve">.</w:t>
      </w:r>
    </w:p>
    <w:p>
      <w:pPr>
        <w:pStyle w:val="BodyText"/>
      </w:pPr>
      <w:r>
        <w:t xml:space="preserve">1.16.</w:t>
      </w:r>
      <w:r>
        <w:t xml:space="preserve"> </w:t>
      </w:r>
      <m:oMath>
        <m:r>
          <m:t> </m:t>
        </m:r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5</m:t>
            </m:r>
            <m:sSup>
              <m:e>
                <m:r>
                  <m:t>x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t>1</m:t>
                </m:r>
                <m:r>
                  <m:rPr>
                    <m:sty m:val="p"/>
                  </m:rPr>
                  <m:t>/</m:t>
                </m:r>
                <m:r>
                  <m:t>2</m:t>
                </m:r>
              </m:sup>
            </m:sSup>
          </m:e>
        </m:d>
      </m:oMath>
      <w:r>
        <w:t xml:space="preserve">. changed</w:t>
      </w:r>
    </w:p>
    <w:p>
      <w:pPr>
        <w:pStyle w:val="BodyText"/>
      </w:pPr>
      <w:r>
        <w:t xml:space="preserve">1.17.</w:t>
      </w:r>
      <w:r>
        <w:t xml:space="preserve"> </w:t>
      </w:r>
      <m:oMath>
        <m:r>
          <m:t> </m:t>
        </m:r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ad>
              <m:radPr>
                <m:degHide m:val="on"/>
              </m:radPr>
              <m:deg/>
              <m:e>
                <m:sSup>
                  <m:e>
                    <m:r>
                      <m:t>x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rad>
          </m:e>
        </m:d>
      </m:oMath>
    </w:p>
    <w:p>
      <w:pPr>
        <w:pStyle w:val="BodyText"/>
      </w:pPr>
      <w:r>
        <w:t xml:space="preserve">1.18.</w:t>
      </w:r>
      <w:r>
        <w:t xml:space="preserve"> </w:t>
      </w:r>
      <m:oMath>
        <m:r>
          <m:t> </m:t>
        </m:r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sSup>
              <m:e>
                <m:r>
                  <m:t>e</m:t>
                </m:r>
              </m:e>
              <m:sup>
                <m:r>
                  <m:t>x</m:t>
                </m:r>
              </m:sup>
            </m:sSup>
          </m:e>
        </m:d>
      </m:oMath>
    </w:p>
    <w:p>
      <w:pPr>
        <w:pStyle w:val="BodyText"/>
      </w:pPr>
      <w:r>
        <w:t xml:space="preserve">1.19.</w:t>
      </w:r>
      <w:r>
        <w:t xml:space="preserve"> </w:t>
      </w:r>
      <m:oMath>
        <m:r>
          <m:t> </m:t>
        </m:r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sSup>
              <m:e>
                <m: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t>2</m:t>
                </m:r>
                <m:r>
                  <m:t>x</m:t>
                </m:r>
              </m:sup>
            </m:sSup>
            <m:r>
              <m:rPr>
                <m:sty m:val="p"/>
              </m:rPr>
              <m:t>+</m:t>
            </m:r>
            <m:r>
              <m:t>5</m:t>
            </m:r>
          </m:e>
        </m:d>
      </m:oMath>
    </w:p>
    <w:p>
      <w:pPr>
        <w:pStyle w:val="BodyText"/>
      </w:pPr>
      <w:r>
        <w:t xml:space="preserve">1.20.</w:t>
      </w:r>
      <w:r>
        <w:t xml:space="preserve"> </w:t>
      </w:r>
      <m:oMath>
        <m:r>
          <m:t> </m:t>
        </m:r>
        <m:r>
          <m:rPr>
            <m:sty m:val="p"/>
          </m:rPr>
          <m:t>ln</m:t>
        </m:r>
        <m:d>
          <m:dPr>
            <m:begChr m:val="("/>
            <m:sepChr m:val=""/>
            <m:endChr m:val=")"/>
            <m:grow/>
          </m:dPr>
          <m:e>
            <m:r>
              <m:t>3</m:t>
            </m:r>
            <m:sSup>
              <m:e>
                <m:r>
                  <m:t>x</m:t>
                </m:r>
              </m:e>
              <m:sup>
                <m:r>
                  <m:t>3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p"/>
              </m:rPr>
              <m:t>sin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</m:e>
            </m:d>
          </m:e>
        </m:d>
      </m:oMath>
    </w:p>
    <w:p>
      <w:r>
        <w:pict>
          <v:rect style="width:0;height:1.5pt" o:hralign="center" o:hrstd="t" o:hr="t"/>
        </w:pict>
      </w:r>
    </w:p>
    <w:p>
      <w:pPr>
        <w:pStyle w:val="FirstParagraph"/>
      </w:pPr>
      <w:hyperlink r:id="rId21">
        <w:r>
          <w:rPr>
            <w:rStyle w:val="Hyperlink"/>
          </w:rPr>
          <w:t xml:space="preserve">After attempting the questions above, please click this link to find the answers.</w:t>
        </w:r>
      </w:hyperlink>
    </w:p>
    <w:p>
      <w:r>
        <w:pict>
          <v:rect style="width:0;height:1.5pt" o:hralign="center" o:hrstd="t" o:hr="t"/>
        </w:pict>
      </w:r>
    </w:p>
    <w:bookmarkStart w:id="23" w:name="version-history-and-licensing"/>
    <w:p>
      <w:pPr>
        <w:pStyle w:val="Heading2"/>
      </w:pPr>
      <w:r>
        <w:t xml:space="preserve">Version history and licensing</w:t>
      </w:r>
    </w:p>
    <w:p>
      <w:pPr>
        <w:pStyle w:val="FirstParagraph"/>
      </w:pPr>
      <w:r>
        <w:t xml:space="preserve">v1.0: initial version created 05/25 by Sara Delgado Garcia as part of a University of St Andrews VIP project.</w:t>
      </w:r>
    </w:p>
    <w:p>
      <w:pPr>
        <w:pStyle w:val="BodyText"/>
      </w:pPr>
      <w:hyperlink r:id="rId22">
        <w:r>
          <w:rPr>
            <w:rStyle w:val="Hyperlink"/>
          </w:rPr>
          <w:t xml:space="preserve">This work is licensed under CC BY-NC-SA 4.0.</w:t>
        </w:r>
      </w:hyperlink>
    </w:p>
    <w:bookmarkEnd w:id="23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../answers/as-chainrule.qmd" TargetMode="External" /><Relationship Type="http://schemas.openxmlformats.org/officeDocument/2006/relationships/hyperlink" Id="rId20" Target="../studyguides/chainrule.qmd" TargetMode="External" /><Relationship Type="http://schemas.openxmlformats.org/officeDocument/2006/relationships/hyperlink" Id="rId22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answers/as-chainrule.qmd" TargetMode="External" /><Relationship Type="http://schemas.openxmlformats.org/officeDocument/2006/relationships/hyperlink" Id="rId20" Target="../studyguides/chainrule.qmd" TargetMode="External" /><Relationship Type="http://schemas.openxmlformats.org/officeDocument/2006/relationships/hyperlink" Id="rId22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Questions: The chain rule</dc:title>
  <dc:creator>Sara Delgado Garcia</dc:creator>
  <cp:keywords/>
  <dcterms:created xsi:type="dcterms:W3CDTF">2026-04-16T12:40:07Z</dcterms:created>
  <dcterms:modified xsi:type="dcterms:W3CDTF">2026-04-16T12:40:07Z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 selection of questions for the study guide on the chain rule.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