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Factsheet: Rules of calculus</w:t>
      </w:r>
    </w:p>
    <w:p>
      <w:pPr>
        <w:pStyle w:val="Author"/>
      </w:pPr>
      <w:r>
        <w:t xml:space="preserve">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list of common rules in calculus.</w:t>
      </w:r>
    </w:p>
    <w:p>
      <w:pPr>
        <w:pStyle w:val="FirstParagraph"/>
      </w:pPr>
      <w:r>
        <w:rPr>
          <w:i/>
          <w:iCs/>
        </w:rPr>
        <w:t xml:space="preserve">Please note: clickable links lead to study guides where the rule is introduced.</w:t>
      </w:r>
    </w:p>
    <w:bookmarkStart w:id="24" w:name="rules-of-differentiation"/>
    <w:p>
      <w:pPr>
        <w:pStyle w:val="Heading2"/>
      </w:pPr>
      <w:r>
        <w:t xml:space="preserve">Rules of differentiation</w:t>
      </w:r>
    </w:p>
    <w:p>
      <w:pPr>
        <w:pStyle w:val="FirstParagraph"/>
      </w:pPr>
      <w:hyperlink r:id="rId20">
        <w:r>
          <w:rPr>
            <w:rStyle w:val="Hyperlink"/>
            <w:b/>
            <w:bCs/>
          </w:rPr>
          <w:t xml:space="preserve">Limit definition of the derivative:</w:t>
        </w:r>
      </w:hyperlink>
      <w:r>
        <w:t xml:space="preserve"> </w:t>
      </w:r>
      <w:r>
        <w:t xml:space="preserve">If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is a continuous function, then (if it exists) the derivative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is defined by</w:t>
      </w:r>
    </w:p>
    <w:p>
      <w:pPr>
        <w:pStyle w:val="BodyText"/>
      </w:pPr>
      <m:oMathPara>
        <m:oMathParaPr>
          <m:jc m:val="center"/>
        </m:oMathParaPr>
        <m:oMath>
          <m:limLow>
            <m:e>
              <m:r>
                <m:rPr>
                  <m:sty m:val="p"/>
                </m:rPr>
                <m:t>lim</m:t>
              </m:r>
            </m:e>
            <m:lim>
              <m:r>
                <m:t>h</m:t>
              </m:r>
              <m:r>
                <m:rPr>
                  <m:sty m:val="p"/>
                </m:rPr>
                <m:t>→</m:t>
              </m:r>
              <m:r>
                <m:t>0</m:t>
              </m:r>
            </m:lim>
          </m:limLow>
          <m:f>
            <m:fPr>
              <m:type m:val="bar"/>
            </m:fPr>
            <m:num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h</m:t>
                  </m:r>
                </m:e>
              </m:d>
              <m:r>
                <m:rPr>
                  <m:sty m:val="p"/>
                </m:rPr>
                <m:t>−</m:t>
              </m:r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num>
            <m:den>
              <m:r>
                <m:t>h</m:t>
              </m:r>
            </m:den>
          </m:f>
        </m:oMath>
      </m:oMathPara>
    </w:p>
    <w:p>
      <w:pPr>
        <w:pStyle w:val="FirstParagraph"/>
      </w:pPr>
      <w:r>
        <w:t xml:space="preserve"> </w:t>
      </w:r>
    </w:p>
    <w:p>
      <w:pPr>
        <w:pStyle w:val="BodyText"/>
      </w:pPr>
      <w:hyperlink r:id="rId20">
        <w:r>
          <w:rPr>
            <w:rStyle w:val="Hyperlink"/>
            <w:b/>
            <w:bCs/>
          </w:rPr>
          <w:t xml:space="preserve">Sum/difference and constant rule:</w:t>
        </w:r>
      </w:hyperlink>
      <w:r>
        <w:t xml:space="preserve"> </w:t>
      </w:r>
      <w:r>
        <w:t xml:space="preserve">If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are differentiable functions, then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rPr>
                  <m:nor/>
                  <m:sty m:val="p"/>
                </m:rPr>
                <m:t>d</m:t>
              </m:r>
            </m:num>
            <m:den>
              <m:r>
                <m:rPr>
                  <m:nor/>
                  <m:sty m:val="p"/>
                </m:rPr>
                <m:t>d</m:t>
              </m:r>
              <m:r>
                <m:t>x</m:t>
              </m:r>
            </m:den>
          </m:f>
          <m:d>
            <m:dPr>
              <m:begChr m:val="("/>
              <m:sepChr m:val=""/>
              <m:endChr m:val=")"/>
              <m:grow/>
            </m:dPr>
            <m:e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±</m:t>
              </m:r>
              <m:r>
                <m:t>g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e>
          </m:d>
          <m:r>
            <m:rPr>
              <m:sty m:val="p"/>
            </m:rPr>
            <m:t>=</m:t>
          </m:r>
          <m:r>
            <m:t>f</m:t>
          </m:r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±</m:t>
          </m:r>
          <m:r>
            <m:t>g</m:t>
          </m:r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t> </m:t>
          </m:r>
          <m:r>
            <m:rPr>
              <m:nor/>
              <m:sty m:val="p"/>
              <m:scr m:val="sans-serif"/>
            </m:rPr>
            <m:t> and </m:t>
          </m:r>
          <m:r>
            <m:t> 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d</m:t>
              </m:r>
            </m:num>
            <m:den>
              <m:r>
                <m:rPr>
                  <m:nor/>
                  <m:sty m:val="p"/>
                </m:rPr>
                <m:t>d</m:t>
              </m:r>
              <m:r>
                <m:t>x</m:t>
              </m:r>
            </m:den>
          </m:f>
          <m:d>
            <m:dPr>
              <m:begChr m:val="("/>
              <m:sepChr m:val=""/>
              <m:endChr m:val=")"/>
              <m:grow/>
            </m:dPr>
            <m:e>
              <m:r>
                <m:t>c</m:t>
              </m:r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e>
          </m:d>
          <m:r>
            <m:rPr>
              <m:sty m:val="p"/>
            </m:rPr>
            <m:t>=</m:t>
          </m:r>
          <m:r>
            <m:t>c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d</m:t>
              </m:r>
            </m:num>
            <m:den>
              <m:r>
                <m:rPr>
                  <m:nor/>
                  <m:sty m:val="p"/>
                </m:rPr>
                <m:t>d</m:t>
              </m:r>
              <m:r>
                <m:t>x</m:t>
              </m:r>
            </m:den>
          </m:f>
          <m:d>
            <m:dPr>
              <m:begChr m:val="("/>
              <m:sepChr m:val=""/>
              <m:endChr m:val=")"/>
              <m:grow/>
            </m:dPr>
            <m:e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e>
          </m:d>
          <m:r>
            <m:rPr>
              <m:sty m:val="p"/>
            </m:rPr>
            <m:t>=</m:t>
          </m:r>
          <m:r>
            <m:t>c</m:t>
          </m:r>
          <m:r>
            <m:t>f</m:t>
          </m:r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</m:oMath>
      </m:oMathPara>
    </w:p>
    <w:p>
      <w:pPr>
        <w:pStyle w:val="FirstParagraph"/>
      </w:pPr>
      <w:r>
        <w:t xml:space="preserve"> </w:t>
      </w:r>
    </w:p>
    <w:p>
      <w:pPr>
        <w:pStyle w:val="BodyText"/>
      </w:pPr>
      <w:hyperlink r:id="rId21">
        <w:r>
          <w:rPr>
            <w:rStyle w:val="Hyperlink"/>
            <w:b/>
            <w:bCs/>
          </w:rPr>
          <w:t xml:space="preserve">Product rule:</w:t>
        </w:r>
      </w:hyperlink>
      <w:r>
        <w:t xml:space="preserve"> </w:t>
      </w:r>
      <w:r>
        <w:t xml:space="preserve">If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u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t>v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,</w:t>
      </w:r>
    </w:p>
    <w:p>
      <w:pPr>
        <w:pStyle w:val="BodyText"/>
      </w:pPr>
      <m:oMathPara>
        <m:oMathParaPr>
          <m:jc m:val="center"/>
        </m:oMathParaPr>
        <m:oMath>
          <m:r>
            <m:t>f</m:t>
          </m:r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d</m:t>
              </m:r>
            </m:num>
            <m:den>
              <m:r>
                <m:rPr>
                  <m:nor/>
                  <m:sty m:val="p"/>
                </m:rPr>
                <m:t>d</m:t>
              </m:r>
              <m:r>
                <m:t>x</m:t>
              </m:r>
            </m:den>
          </m:f>
          <m:d>
            <m:dPr>
              <m:begChr m:val="("/>
              <m:sepChr m:val=""/>
              <m:endChr m:val=")"/>
              <m:grow/>
            </m:dPr>
            <m:e>
              <m:r>
                <m:t>u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t>v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e>
          </m:d>
          <m:r>
            <m:rPr>
              <m:sty m:val="p"/>
            </m:rPr>
            <m:t>=</m:t>
          </m:r>
          <m:r>
            <m:t>u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t>v</m:t>
          </m:r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+</m:t>
          </m:r>
          <m:r>
            <m:t>u</m:t>
          </m:r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t>v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</m:oMath>
      </m:oMathPara>
    </w:p>
    <w:p>
      <w:pPr>
        <w:pStyle w:val="FirstParagraph"/>
      </w:pPr>
      <w:r>
        <w:t xml:space="preserve"> </w:t>
      </w:r>
    </w:p>
    <w:p>
      <w:pPr>
        <w:pStyle w:val="BodyText"/>
      </w:pPr>
      <w:hyperlink r:id="rId22">
        <w:r>
          <w:rPr>
            <w:rStyle w:val="Hyperlink"/>
            <w:b/>
            <w:bCs/>
          </w:rPr>
          <w:t xml:space="preserve">Quotient rule:</w:t>
        </w:r>
      </w:hyperlink>
      <w:r>
        <w:t xml:space="preserve"> </w:t>
      </w:r>
      <w:r>
        <w:t xml:space="preserve">If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u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/</m:t>
        </m:r>
        <m:r>
          <m:t>v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v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≠</m:t>
        </m:r>
        <m:r>
          <m:t>0</m:t>
        </m:r>
      </m:oMath>
      <w:r>
        <w:t xml:space="preserve">, then</w:t>
      </w:r>
    </w:p>
    <w:p>
      <w:pPr>
        <w:pStyle w:val="BodyText"/>
      </w:pPr>
      <m:oMathPara>
        <m:oMathParaPr>
          <m:jc m:val="center"/>
        </m:oMathParaPr>
        <m:oMath>
          <m:r>
            <m:t>f</m:t>
          </m:r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d</m:t>
              </m:r>
            </m:num>
            <m:den>
              <m:r>
                <m:rPr>
                  <m:nor/>
                  <m:sty m:val="p"/>
                </m:rPr>
                <m:t>d</m:t>
              </m:r>
              <m:r>
                <m:t>x</m:t>
              </m:r>
            </m:den>
          </m:f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u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x</m:t>
                      </m:r>
                    </m:e>
                  </m:d>
                </m:num>
                <m:den>
                  <m:r>
                    <m:t>v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x</m:t>
                      </m:r>
                    </m:e>
                  </m:d>
                </m:den>
              </m:f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v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t>u</m:t>
              </m:r>
              <m:r>
                <m:rPr>
                  <m:sty m:val="p"/>
                </m:rPr>
                <m:t>′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−</m:t>
              </m:r>
              <m:r>
                <m:t>u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t>v</m:t>
              </m:r>
              <m:r>
                <m:rPr>
                  <m:sty m:val="p"/>
                </m:rPr>
                <m:t>′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v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m:t>2</m:t>
                  </m:r>
                </m:sup>
              </m:sSup>
            </m:den>
          </m:f>
        </m:oMath>
      </m:oMathPara>
    </w:p>
    <w:p>
      <w:pPr>
        <w:pStyle w:val="FirstParagraph"/>
      </w:pPr>
      <w:r>
        <w:t xml:space="preserve"> </w:t>
      </w:r>
    </w:p>
    <w:p>
      <w:pPr>
        <w:pStyle w:val="BodyText"/>
      </w:pPr>
      <w:hyperlink r:id="rId23">
        <w:r>
          <w:rPr>
            <w:rStyle w:val="Hyperlink"/>
            <w:b/>
            <w:bCs/>
          </w:rPr>
          <w:t xml:space="preserve">Chain rule:</w:t>
        </w:r>
      </w:hyperlink>
      <w:r>
        <w:t xml:space="preserve"> </w:t>
      </w:r>
      <w:r>
        <w:t xml:space="preserve">If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u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e>
        </m:d>
      </m:oMath>
      <w:r>
        <w:t xml:space="preserve">, then</w:t>
      </w:r>
    </w:p>
    <w:p>
      <w:pPr>
        <w:pStyle w:val="BodyText"/>
      </w:pPr>
      <m:oMathPara>
        <m:oMathParaPr>
          <m:jc m:val="center"/>
        </m:oMathParaPr>
        <m:oMath>
          <m:r>
            <m:t>f</m:t>
          </m:r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d</m:t>
              </m:r>
              <m:r>
                <m:t>f</m:t>
              </m:r>
            </m:num>
            <m:den>
              <m:r>
                <m:rPr>
                  <m:nor/>
                  <m:sty m:val="p"/>
                </m:rPr>
                <m:t>d</m:t>
              </m:r>
              <m:r>
                <m:t>u</m:t>
              </m:r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d</m:t>
              </m:r>
              <m:r>
                <m:t>u</m:t>
              </m:r>
            </m:num>
            <m:den>
              <m:r>
                <m:rPr>
                  <m:nor/>
                  <m:sty m:val="p"/>
                </m:rPr>
                <m:t>d</m:t>
              </m:r>
              <m:r>
                <m:t>x</m:t>
              </m:r>
            </m:den>
          </m:f>
          <m:r>
            <m:rPr>
              <m:sty m:val="p"/>
            </m:rPr>
            <m:t>=</m:t>
          </m:r>
          <m:r>
            <m:t>f</m:t>
          </m:r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u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e>
          </m:d>
          <m:r>
            <m:rPr>
              <m:sty m:val="p"/>
            </m:rPr>
            <m:t>⋅</m:t>
          </m:r>
          <m:r>
            <m:t>u</m:t>
          </m:r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sepChr m:val=""/>
            <m:endChr m:val=")"/>
            <m:grow/>
          </m:dPr>
          <m:e>
            <m:r>
              <m:t>u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e>
        </m:d>
      </m:oMath>
      <w:r>
        <w:t xml:space="preserve"> </w:t>
      </w:r>
      <w:r>
        <w:t xml:space="preserve">is the derivative of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u</m:t>
            </m:r>
          </m:e>
        </m:d>
      </m:oMath>
      <w:r>
        <w:t xml:space="preserve"> </w:t>
      </w:r>
      <w:r>
        <w:t xml:space="preserve">with respect to</w:t>
      </w:r>
      <w:r>
        <w:t xml:space="preserve"> </w:t>
      </w:r>
      <m:oMath>
        <m:r>
          <m:t>u</m:t>
        </m:r>
      </m:oMath>
      <w:r>
        <w:t xml:space="preserve">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b/>
          <w:bCs/>
        </w:rPr>
        <w:t xml:space="preserve">Implicit differentiation:</w:t>
      </w:r>
      <w:r>
        <w:t xml:space="preserve"> </w:t>
      </w:r>
      <w:r>
        <w:t xml:space="preserve">If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defines a function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</m:oMath>
      <w:r>
        <w:t xml:space="preserve"> </w:t>
      </w:r>
      <w:r>
        <w:t xml:space="preserve">implicitly, then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rPr>
                  <m:nor/>
                  <m:sty m:val="p"/>
                </m:rPr>
                <m:t>d</m:t>
              </m:r>
            </m:num>
            <m:den>
              <m:r>
                <m:rPr>
                  <m:nor/>
                  <m:sty m:val="p"/>
                </m:rPr>
                <m:t>d</m:t>
              </m:r>
              <m:r>
                <m:t>x</m:t>
              </m:r>
            </m:den>
          </m:f>
          <m:d>
            <m:dPr>
              <m:begChr m:val="("/>
              <m:sepChr m:val=""/>
              <m:endChr m:val=")"/>
              <m:grow/>
            </m:dPr>
            <m:e>
              <m:r>
                <m:t>g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y</m:t>
                  </m:r>
                </m:e>
              </m:d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d</m:t>
              </m:r>
              <m:r>
                <m:t>g</m:t>
              </m:r>
            </m:num>
            <m:den>
              <m:r>
                <m:rPr>
                  <m:nor/>
                  <m:sty m:val="p"/>
                </m:rPr>
                <m:t>d</m:t>
              </m:r>
              <m:r>
                <m:t>y</m:t>
              </m:r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d</m:t>
              </m:r>
              <m:r>
                <m:t>y</m:t>
              </m:r>
            </m:num>
            <m:den>
              <m:r>
                <m:rPr>
                  <m:nor/>
                  <m:sty m:val="p"/>
                </m:rPr>
                <m:t>d</m:t>
              </m:r>
              <m:r>
                <m:t>x</m:t>
              </m:r>
            </m:den>
          </m:f>
          <m:r>
            <m:rPr>
              <m:sty m:val="p"/>
            </m:rPr>
            <m:t>=</m:t>
          </m:r>
          <m:r>
            <m:t>g</m:t>
          </m:r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y</m:t>
              </m:r>
            </m:e>
          </m:d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d</m:t>
              </m:r>
              <m:r>
                <m:t>y</m:t>
              </m:r>
            </m:num>
            <m:den>
              <m:r>
                <m:rPr>
                  <m:nor/>
                  <m:sty m:val="p"/>
                </m:rPr>
                <m:t>d</m:t>
              </m:r>
              <m:r>
                <m:t>x</m:t>
              </m:r>
            </m:den>
          </m:f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g</m:t>
        </m:r>
        <m:r>
          <m:rPr>
            <m:sty m:val="p"/>
          </m:rPr>
          <m:t>′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</m:oMath>
      <w:r>
        <w:t xml:space="preserve"> </w:t>
      </w:r>
      <w:r>
        <w:t xml:space="preserve">is the derivative of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</m:oMath>
      <w:r>
        <w:t xml:space="preserve"> </w:t>
      </w:r>
      <w:r>
        <w:t xml:space="preserve">with respect to</w:t>
      </w:r>
      <w:r>
        <w:t xml:space="preserve"> </w:t>
      </w:r>
      <m:oMath>
        <m:r>
          <m:t>y</m:t>
        </m:r>
      </m:oMath>
      <w:r>
        <w:t xml:space="preserve">.</w:t>
      </w:r>
    </w:p>
    <w:bookmarkEnd w:id="24"/>
    <w:bookmarkStart w:id="25" w:name="rules-of-integration"/>
    <w:p>
      <w:pPr>
        <w:pStyle w:val="Heading2"/>
      </w:pPr>
      <w:r>
        <w:t xml:space="preserve">Rules of integration</w:t>
      </w:r>
    </w:p>
    <w:p>
      <w:pPr>
        <w:pStyle w:val="FirstParagraph"/>
      </w:pPr>
      <w:r>
        <w:rPr>
          <w:b/>
          <w:bCs/>
        </w:rPr>
        <w:t xml:space="preserve">Sum/difference and constant rules</w:t>
      </w:r>
      <w:r>
        <w:t xml:space="preserve">: If</w:t>
      </w:r>
      <w:r>
        <w:t xml:space="preserve"> </w:t>
      </w:r>
      <m:oMath>
        <m:r>
          <m:t>f</m:t>
        </m:r>
        <m:r>
          <m:rPr>
            <m:sty m:val="p"/>
          </m:rPr>
          <m:t>,</m:t>
        </m:r>
        <m:r>
          <m:t>g</m:t>
        </m:r>
      </m:oMath>
      <w:r>
        <w:t xml:space="preserve"> </w:t>
      </w:r>
      <w:r>
        <w:t xml:space="preserve">are functions 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 any number: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∫</m:t>
          </m:r>
          <m:r>
            <m:t>f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±</m:t>
          </m:r>
          <m:r>
            <m:t>g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t> </m:t>
          </m:r>
          <m:r>
            <m:rPr>
              <m:sty m:val="p"/>
            </m:rPr>
            <m:t>d</m:t>
          </m:r>
          <m: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∫</m:t>
          </m:r>
          <m:r>
            <m:t>f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t> </m:t>
          </m:r>
          <m:r>
            <m:rPr>
              <m:sty m:val="p"/>
            </m:rPr>
            <m:t>d</m:t>
          </m:r>
          <m:r>
            <m:t>x</m:t>
          </m:r>
          <m:r>
            <m:rPr>
              <m:sty m:val="p"/>
            </m:rPr>
            <m:t>±</m:t>
          </m:r>
          <m:r>
            <m:rPr>
              <m:sty m:val="p"/>
            </m:rPr>
            <m:t>∫</m:t>
          </m:r>
          <m:r>
            <m:t>g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t> </m:t>
          </m:r>
          <m:r>
            <m:rPr>
              <m:sty m:val="p"/>
            </m:rPr>
            <m:t>d</m:t>
          </m:r>
          <m:r>
            <m:t>x</m:t>
          </m:r>
          <m:r>
            <m:t> </m:t>
          </m:r>
          <m:r>
            <m:rPr>
              <m:nor/>
              <m:sty m:val="p"/>
              <m:scr m:val="sans-serif"/>
            </m:rPr>
            <m:t> and </m:t>
          </m:r>
          <m:r>
            <m:t> </m:t>
          </m:r>
          <m:r>
            <m:rPr>
              <m:sty m:val="p"/>
            </m:rPr>
            <m:t>∫</m:t>
          </m:r>
          <m:r>
            <m:t>k</m:t>
          </m:r>
          <m:r>
            <m:t>f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t> </m:t>
          </m:r>
          <m:r>
            <m:rPr>
              <m:nor/>
              <m:sty m:val="p"/>
            </m:rPr>
            <m:t>d</m:t>
          </m:r>
          <m:r>
            <m:t>x</m:t>
          </m:r>
          <m:r>
            <m:rPr>
              <m:sty m:val="p"/>
            </m:rPr>
            <m:t>=</m:t>
          </m:r>
          <m:r>
            <m:t>k</m:t>
          </m:r>
          <m:r>
            <m:rPr>
              <m:sty m:val="p"/>
            </m:rPr>
            <m:t>∫</m:t>
          </m:r>
          <m:r>
            <m:t>f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t> </m:t>
          </m:r>
          <m:r>
            <m:rPr>
              <m:nor/>
              <m:sty m:val="p"/>
            </m:rPr>
            <m:t>d</m:t>
          </m:r>
          <m:r>
            <m:t>x</m:t>
          </m:r>
        </m:oMath>
      </m:oMathPara>
    </w:p>
    <w:p>
      <w:pPr>
        <w:pStyle w:val="FirstParagraph"/>
      </w:pPr>
      <w:r>
        <w:t xml:space="preserve"> </w:t>
      </w:r>
    </w:p>
    <w:p>
      <w:pPr>
        <w:pStyle w:val="BodyText"/>
      </w:pPr>
      <w:r>
        <w:rPr>
          <w:b/>
          <w:bCs/>
        </w:rPr>
        <w:t xml:space="preserve">Limit manipulation</w:t>
      </w:r>
      <w:r>
        <w:t xml:space="preserve">: If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a function and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</m:oMath>
      <w:r>
        <w:t xml:space="preserve"> </w:t>
      </w:r>
      <w:r>
        <w:t xml:space="preserve">are real numbers, then:</w:t>
      </w:r>
    </w:p>
    <w:p>
      <w:pPr>
        <w:numPr>
          <w:ilvl w:val="0"/>
          <w:numId w:val="1001"/>
        </w:numPr>
      </w:pPr>
      <w:r>
        <w:t xml:space="preserve">for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such that</w:t>
      </w:r>
      <w:r>
        <w:t xml:space="preserve"> </w:t>
      </w:r>
      <m:oMath>
        <m:r>
          <m:t>a</m:t>
        </m:r>
        <m:r>
          <m:rPr>
            <m:sty m:val="p"/>
          </m:rPr>
          <m:t>&lt;</m:t>
        </m:r>
        <m:r>
          <m:t>c</m:t>
        </m:r>
        <m:r>
          <m:rPr>
            <m:sty m:val="p"/>
          </m:rPr>
          <m:t>&lt;</m:t>
        </m:r>
        <m:r>
          <m:t>b</m:t>
        </m:r>
      </m:oMath>
      <w:r>
        <w:t xml:space="preserve">, then: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a</m:t>
              </m:r>
            </m:sub>
            <m:sup>
              <m:r>
                <m:t>b</m:t>
              </m:r>
            </m:sup>
            <m:e>
              <m:r>
                <m:t>f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t> </m:t>
          </m:r>
          <m:r>
            <m:rPr>
              <m:sty m:val="p"/>
            </m:rPr>
            <m:t>d</m:t>
          </m:r>
          <m:r>
            <m:t>x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a</m:t>
              </m:r>
            </m:sub>
            <m:sup>
              <m:r>
                <m:t>c</m:t>
              </m:r>
            </m:sup>
            <m:e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e>
          </m:nary>
          <m:r>
            <m:t> </m:t>
          </m:r>
          <m:r>
            <m:rPr>
              <m:sty m:val="p"/>
            </m:rPr>
            <m:t>d</m:t>
          </m:r>
          <m:r>
            <m:t>x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c</m:t>
              </m:r>
            </m:sub>
            <m:sup>
              <m:r>
                <m:t>b</m:t>
              </m:r>
            </m:sup>
            <m:e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e>
          </m:nary>
          <m:r>
            <m:t> </m:t>
          </m:r>
          <m:r>
            <m:rPr>
              <m:sty m:val="p"/>
            </m:rPr>
            <m:t>d</m:t>
          </m:r>
          <m:r>
            <m:t>x</m:t>
          </m:r>
        </m:oMath>
      </m:oMathPara>
    </w:p>
    <w:p>
      <w:pPr>
        <w:numPr>
          <w:ilvl w:val="0"/>
          <w:numId w:val="1001"/>
        </w:numPr>
      </w:pPr>
      <w:r>
        <w:t xml:space="preserve">if</w:t>
      </w:r>
      <w:r>
        <w:t xml:space="preserve"> </w:t>
      </w:r>
      <m:oMath>
        <m:r>
          <m:t>a</m:t>
        </m:r>
        <m:r>
          <m:rPr>
            <m:sty m:val="p"/>
          </m:rPr>
          <m:t>≤</m:t>
        </m:r>
        <m:r>
          <m:t>b</m:t>
        </m:r>
      </m:oMath>
      <w:r>
        <w:t xml:space="preserve">, then: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a</m:t>
              </m:r>
            </m:sub>
            <m:sup>
              <m:r>
                <m:t>b</m:t>
              </m:r>
            </m:sup>
            <m:e>
              <m:r>
                <m:t>f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t> </m:t>
          </m:r>
          <m:r>
            <m:rPr>
              <m:sty m:val="p"/>
            </m:rPr>
            <m:t>d</m:t>
          </m:r>
          <m: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b</m:t>
              </m:r>
            </m:sub>
            <m:sup>
              <m:r>
                <m:t>a</m:t>
              </m:r>
            </m:sup>
            <m:e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e>
          </m:nary>
          <m:r>
            <m:t> </m:t>
          </m:r>
          <m:r>
            <m:rPr>
              <m:sty m:val="p"/>
            </m:rPr>
            <m:t>d</m:t>
          </m:r>
          <m:r>
            <m:t>x</m:t>
          </m:r>
        </m:oMath>
      </m:oMathPara>
    </w:p>
    <w:p>
      <w:pPr>
        <w:pStyle w:val="FirstParagraph"/>
      </w:pPr>
      <w:r>
        <w:t xml:space="preserve"> </w:t>
      </w:r>
    </w:p>
    <w:p>
      <w:pPr>
        <w:pStyle w:val="BodyText"/>
      </w:pPr>
      <w:r>
        <w:rPr>
          <w:b/>
          <w:bCs/>
        </w:rPr>
        <w:t xml:space="preserve">Integration by substitution:</w:t>
      </w:r>
      <w:r>
        <w:t xml:space="preserve"> </w:t>
      </w:r>
      <w:r>
        <w:t xml:space="preserve">For an indefinite integral,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∫</m:t>
          </m:r>
          <m:r>
            <m:t>f</m:t>
          </m:r>
          <m:d>
            <m:dPr>
              <m:begChr m:val="("/>
              <m:sepChr m:val=""/>
              <m:endChr m:val=")"/>
              <m:grow/>
            </m:dPr>
            <m:e>
              <m:r>
                <m:t>u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e>
          </m:d>
          <m:r>
            <m:rPr>
              <m:sty m:val="p"/>
            </m:rPr>
            <m:t>⋅</m:t>
          </m:r>
          <m:r>
            <m:t>u</m:t>
          </m:r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t> </m:t>
          </m:r>
          <m:r>
            <m:rPr>
              <m:nor/>
              <m:sty m:val="p"/>
            </m:rPr>
            <m:t>d</m:t>
          </m:r>
          <m: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∫</m:t>
          </m:r>
          <m:r>
            <m:t>f</m:t>
          </m:r>
          <m:d>
            <m:dPr>
              <m:begChr m:val="("/>
              <m:sepChr m:val=""/>
              <m:endChr m:val=")"/>
              <m:grow/>
            </m:dPr>
            <m:e>
              <m:r>
                <m:t>u</m:t>
              </m:r>
            </m:e>
          </m:d>
          <m:r>
            <m:t> </m:t>
          </m:r>
          <m:r>
            <m:rPr>
              <m:nor/>
              <m:sty m:val="p"/>
            </m:rPr>
            <m:t>d</m:t>
          </m:r>
          <m:r>
            <m:t>u</m:t>
          </m:r>
        </m:oMath>
      </m:oMathPara>
    </w:p>
    <w:p>
      <w:pPr>
        <w:pStyle w:val="FirstParagraph"/>
      </w:pPr>
      <w:r>
        <w:t xml:space="preserve">and for a definite integral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a</m:t>
              </m:r>
            </m:sub>
            <m:sup>
              <m:r>
                <m:t>b</m:t>
              </m:r>
            </m:sup>
            <m:e>
              <m:r>
                <m:t>f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u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e>
          </m:d>
          <m:r>
            <m:rPr>
              <m:sty m:val="p"/>
            </m:rPr>
            <m:t>⋅</m:t>
          </m:r>
          <m:r>
            <m:t>u</m:t>
          </m:r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t> </m:t>
          </m:r>
          <m:r>
            <m:rPr>
              <m:nor/>
              <m:sty m:val="p"/>
            </m:rPr>
            <m:t>d</m:t>
          </m:r>
          <m:r>
            <m:t>x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u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a</m:t>
                  </m:r>
                </m:e>
              </m:d>
            </m:sub>
            <m:sup>
              <m:r>
                <m:t>u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b</m:t>
                  </m:r>
                </m:e>
              </m:d>
            </m:sup>
            <m:e>
              <m:r>
                <m:t>f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u</m:t>
              </m:r>
            </m:e>
          </m:d>
          <m:r>
            <m:t> </m:t>
          </m:r>
          <m:r>
            <m:rPr>
              <m:nor/>
              <m:sty m:val="p"/>
            </m:rPr>
            <m:t>d</m:t>
          </m:r>
          <m:r>
            <m:t>u</m:t>
          </m:r>
        </m:oMath>
      </m:oMathPara>
    </w:p>
    <w:p>
      <w:pPr>
        <w:pStyle w:val="FirstParagraph"/>
      </w:pPr>
      <w:r>
        <w:t xml:space="preserve"> </w:t>
      </w:r>
    </w:p>
    <w:p>
      <w:pPr>
        <w:pStyle w:val="BodyText"/>
      </w:pPr>
      <w:r>
        <w:rPr>
          <w:b/>
          <w:bCs/>
        </w:rPr>
        <w:t xml:space="preserve">Integration by parts:</w:t>
      </w:r>
      <w:r>
        <w:t xml:space="preserve"> </w:t>
      </w:r>
      <w:r>
        <w:t xml:space="preserve">For functions</w:t>
      </w:r>
      <w:r>
        <w:t xml:space="preserve"> </w:t>
      </w:r>
      <m:oMath>
        <m:r>
          <m:t>u</m:t>
        </m:r>
        <m:r>
          <m:rPr>
            <m:sty m:val="p"/>
          </m:rPr>
          <m:t>,</m:t>
        </m:r>
        <m:r>
          <m:t>v</m:t>
        </m:r>
      </m:oMath>
      <w:r>
        <w:t xml:space="preserve"> </w:t>
      </w:r>
      <w:r>
        <w:t xml:space="preserve">of</w:t>
      </w:r>
      <w:r>
        <w:t xml:space="preserve"> </w:t>
      </w:r>
      <m:oMath>
        <m:r>
          <m:t>x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∫</m:t>
          </m:r>
          <m:r>
            <m:t>u</m:t>
          </m:r>
          <m:r>
            <m:t>v</m:t>
          </m:r>
          <m:r>
            <m:rPr>
              <m:sty m:val="p"/>
            </m:rPr>
            <m:t>′</m:t>
          </m:r>
          <m:r>
            <m:rPr>
              <m:nor/>
              <m:sty m:val="p"/>
            </m:rPr>
            <m:t>d</m:t>
          </m:r>
          <m:r>
            <m:t>x</m:t>
          </m:r>
          <m:r>
            <m:rPr>
              <m:sty m:val="p"/>
            </m:rPr>
            <m:t>=</m:t>
          </m:r>
          <m:r>
            <m:t>u</m:t>
          </m:r>
          <m:r>
            <m:t>v</m:t>
          </m:r>
          <m:r>
            <m:rPr>
              <m:sty m:val="p"/>
            </m:rPr>
            <m:t>−</m:t>
          </m:r>
          <m:r>
            <m:rPr>
              <m:sty m:val="p"/>
            </m:rPr>
            <m:t>∫</m:t>
          </m:r>
          <m:r>
            <m:t>v</m:t>
          </m:r>
          <m:r>
            <m:t>u</m:t>
          </m:r>
          <m:r>
            <m:rPr>
              <m:sty m:val="p"/>
            </m:rPr>
            <m:t>′</m:t>
          </m:r>
          <m:r>
            <m:t> </m:t>
          </m:r>
          <m:r>
            <m:rPr>
              <m:nor/>
              <m:sty m:val="p"/>
            </m:rPr>
            <m:t>d</m:t>
          </m:r>
          <m:r>
            <m:t>x</m:t>
          </m:r>
        </m:oMath>
      </m:oMathPara>
    </w:p>
    <w:p>
      <w:pPr>
        <w:pStyle w:val="FirstParagraph"/>
      </w:pPr>
      <w:r>
        <w:rPr>
          <w:b/>
          <w:bCs/>
        </w:rPr>
        <w:t xml:space="preserve">Integration of derivative over function:</w:t>
      </w:r>
      <w:r>
        <w:t xml:space="preserve"> </w:t>
      </w:r>
      <w:r>
        <w:t xml:space="preserve">For a function</w:t>
      </w:r>
      <w:r>
        <w:t xml:space="preserve"> </w:t>
      </w:r>
      <m:oMath>
        <m:r>
          <m:t>f</m:t>
        </m:r>
      </m:oMath>
      <w:r>
        <w:t xml:space="preserve">,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∫</m:t>
          </m:r>
          <m:f>
            <m:fPr>
              <m:type m:val="bar"/>
            </m:fPr>
            <m:num>
              <m:r>
                <m:t>f</m:t>
              </m:r>
              <m:r>
                <m:rPr>
                  <m:sty m:val="p"/>
                </m:rPr>
                <m:t>′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num>
            <m:den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den>
          </m:f>
          <m:r>
            <m:t> </m:t>
          </m:r>
          <m:r>
            <m:rPr>
              <m:nor/>
              <m:sty m:val="p"/>
            </m:rPr>
            <m:t>d</m:t>
          </m:r>
          <m: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d>
            <m:dPr>
              <m:begChr m:val="|"/>
              <m:sepChr m:val=""/>
              <m:endChr m:val="|"/>
              <m:grow/>
            </m:dPr>
            <m:e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e>
          </m:d>
          <m:r>
            <m:rPr>
              <m:sty m:val="p"/>
            </m:rPr>
            <m:t>+</m:t>
          </m:r>
          <m:r>
            <m:t>C</m:t>
          </m:r>
          <m:r>
            <m:rPr>
              <m:sty m:val="p"/>
            </m:rPr>
            <m:t>.</m:t>
          </m:r>
        </m:oMath>
      </m:oMathPara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5"/>
    <w:bookmarkStart w:id="27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created in 08/25 by tdhc.</w:t>
      </w:r>
    </w:p>
    <w:p>
      <w:pPr>
        <w:pStyle w:val="BodyText"/>
      </w:pPr>
      <w:hyperlink r:id="rId26">
        <w:r>
          <w:rPr>
            <w:rStyle w:val="Hyperlink"/>
          </w:rPr>
          <w:t xml:space="preserve">This work is licensed under CC BY-NC-SA 4.0.</w:t>
        </w:r>
      </w:hyperlink>
    </w:p>
    <w:bookmarkEnd w:id="27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../studyguides/chainrule.qmd" TargetMode="External" /><Relationship Type="http://schemas.openxmlformats.org/officeDocument/2006/relationships/hyperlink" Id="rId20" Target="../studyguides/introtodifferentiation.qmd" TargetMode="External" /><Relationship Type="http://schemas.openxmlformats.org/officeDocument/2006/relationships/hyperlink" Id="rId21" Target="../studyguides/productrule.qmd" TargetMode="External" /><Relationship Type="http://schemas.openxmlformats.org/officeDocument/2006/relationships/hyperlink" Id="rId22" Target="../studyguides/quotientrule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studyguides/chainrule.qmd" TargetMode="External" /><Relationship Type="http://schemas.openxmlformats.org/officeDocument/2006/relationships/hyperlink" Id="rId20" Target="../studyguides/introtodifferentiation.qmd" TargetMode="External" /><Relationship Type="http://schemas.openxmlformats.org/officeDocument/2006/relationships/hyperlink" Id="rId21" Target="../studyguides/productrule.qmd" TargetMode="External" /><Relationship Type="http://schemas.openxmlformats.org/officeDocument/2006/relationships/hyperlink" Id="rId22" Target="../studyguides/quotientrule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Rules of calculus</dc:title>
  <dc:creator>Tom Coleman</dc:creator>
  <cp:keywords/>
  <dcterms:created xsi:type="dcterms:W3CDTF">2026-04-16T12:24:25Z</dcterms:created>
  <dcterms:modified xsi:type="dcterms:W3CDTF">2026-04-16T12:24:25Z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list of common rules in calculus.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