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Factsheet: Laws of logarithms</w:t>
      </w:r>
    </w:p>
    <w:p>
      <w:pPr>
        <w:pStyle w:val="Author"/>
      </w:pPr>
      <w:r>
        <w:t xml:space="preserve">Millie Pike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 list of laws of logarithms.</w:t>
      </w:r>
    </w:p>
    <w:p>
      <w:pPr>
        <w:pStyle w:val="FirstParagraph"/>
      </w:pPr>
      <w:r>
        <w:rPr>
          <w:i/>
          <w:iCs/>
        </w:rPr>
        <w:t xml:space="preserve">The associated study guide for this factsheet is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Guide: Introduction to logarithms</w:t>
        </w:r>
      </w:hyperlink>
      <w:r>
        <w:rPr>
          <w:i/>
          <w:iCs/>
        </w:rPr>
        <w:t xml:space="preserve">. If you would like to know more about logarithms, please read the guide.</w:t>
      </w:r>
    </w:p>
    <w:p>
      <w:pPr>
        <w:pStyle w:val="BodyText"/>
      </w:pPr>
      <w:r>
        <w:t xml:space="preserve">Throughout this factsheet,</w:t>
      </w:r>
      <w:r>
        <w:t xml:space="preserve"> </w:t>
      </w:r>
      <m:oMath>
        <m:r>
          <m:t>a</m:t>
        </m:r>
        <m:r>
          <m:rPr>
            <m:sty m:val="p"/>
          </m:rPr>
          <m:t>,</m:t>
        </m:r>
        <m:r>
          <m:t>k</m:t>
        </m:r>
        <m:r>
          <m:rPr>
            <m:sty m:val="p"/>
          </m:rPr>
          <m:t>,</m:t>
        </m:r>
        <m:r>
          <m:t>x</m:t>
        </m:r>
        <m:r>
          <m:rPr>
            <m:sty m:val="p"/>
          </m:rPr>
          <m:t>,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are positive real numbers, and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is a real number, with</w:t>
      </w:r>
      <w:r>
        <w:t xml:space="preserve"> </w:t>
      </w:r>
      <m:oMath>
        <m:r>
          <m:t>a</m:t>
        </m:r>
        <m:r>
          <m:rPr>
            <m:sty m:val="p"/>
          </m:rPr>
          <m:t>,</m:t>
        </m:r>
        <m:r>
          <m:t>k</m:t>
        </m:r>
        <m:r>
          <m:rPr>
            <m:sty m:val="p"/>
          </m:rPr>
          <m:t>≠</m:t>
        </m:r>
        <m:r>
          <m:t>1</m:t>
        </m:r>
      </m:oMath>
      <w:r>
        <w:t xml:space="preserve">.</w:t>
      </w:r>
    </w:p>
    <w:bookmarkStart w:id="21" w:name="laws-of-logarithms"/>
    <w:p>
      <w:pPr>
        <w:pStyle w:val="Heading2"/>
      </w:pPr>
      <w:r>
        <w:t xml:space="preserve">Laws of logarithms</w:t>
      </w:r>
    </w:p>
    <w:p>
      <w:pPr>
        <w:pStyle w:val="FirstParagraph"/>
      </w:pPr>
      <w:r>
        <w:rPr>
          <w:b/>
          <w:bCs/>
        </w:rPr>
        <w:t xml:space="preserve">Law 1 - Product Rule</w:t>
      </w:r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rPr>
                  <m:sty m:val="p"/>
                </m:rPr>
                <m:t>log</m:t>
              </m:r>
            </m:e>
            <m:sub>
              <m:r>
                <m:t>a</m:t>
              </m:r>
            </m:sub>
          </m:sSub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</m:e>
          </m:d>
          <m:r>
            <m:rPr>
              <m:sty m:val="p"/>
            </m:rPr>
            <m:t>+</m:t>
          </m:r>
          <m:sSub>
            <m:e>
              <m:r>
                <m:rPr>
                  <m:sty m:val="p"/>
                </m:rPr>
                <m:t>log</m:t>
              </m:r>
            </m:e>
            <m:sub>
              <m:r>
                <m:t>a</m:t>
              </m:r>
            </m:sub>
          </m:sSub>
          <m:d>
            <m:dPr>
              <m:begChr m:val="("/>
              <m:sepChr m:val=""/>
              <m:endChr m:val=")"/>
              <m:grow/>
            </m:dPr>
            <m:e>
              <m:r>
                <m:t>y</m:t>
              </m:r>
            </m:e>
          </m:d>
          <m:r>
            <m:rPr>
              <m:sty m:val="p"/>
            </m:rPr>
            <m:t>=</m:t>
          </m:r>
          <m:sSub>
            <m:e>
              <m:r>
                <m:rPr>
                  <m:sty m:val="p"/>
                </m:rPr>
                <m:t>log</m:t>
              </m:r>
            </m:e>
            <m:sub>
              <m:r>
                <m:t>a</m:t>
              </m:r>
            </m:sub>
          </m:sSub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  <m:r>
                <m:t>y</m:t>
              </m:r>
            </m:e>
          </m:d>
        </m:oMath>
      </m:oMathPara>
    </w:p>
    <w:p>
      <w:pPr>
        <w:pStyle w:val="FirstParagraph"/>
      </w:pPr>
      <w:r>
        <w:rPr>
          <w:b/>
          <w:bCs/>
        </w:rPr>
        <w:t xml:space="preserve">Law 2 - Quotient Rule</w:t>
      </w:r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rPr>
                  <m:sty m:val="p"/>
                </m:rPr>
                <m:t>log</m:t>
              </m:r>
            </m:e>
            <m:sub>
              <m:r>
                <m:t>a</m:t>
              </m:r>
            </m:sub>
          </m:sSub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</m:e>
          </m:d>
          <m:r>
            <m:rPr>
              <m:sty m:val="p"/>
            </m:rPr>
            <m:t>−</m:t>
          </m:r>
          <m:sSub>
            <m:e>
              <m:r>
                <m:rPr>
                  <m:sty m:val="p"/>
                </m:rPr>
                <m:t>log</m:t>
              </m:r>
            </m:e>
            <m:sub>
              <m:r>
                <m:t>a</m:t>
              </m:r>
            </m:sub>
          </m:sSub>
          <m:d>
            <m:dPr>
              <m:begChr m:val="("/>
              <m:sepChr m:val=""/>
              <m:endChr m:val=")"/>
              <m:grow/>
            </m:dPr>
            <m:e>
              <m:r>
                <m:t>y</m:t>
              </m:r>
            </m:e>
          </m:d>
          <m:r>
            <m:rPr>
              <m:sty m:val="p"/>
            </m:rPr>
            <m:t>=</m:t>
          </m:r>
          <m:sSub>
            <m:e>
              <m:r>
                <m:rPr>
                  <m:sty m:val="p"/>
                </m:rPr>
                <m:t>log</m:t>
              </m:r>
            </m:e>
            <m:sub>
              <m:r>
                <m:t>a</m:t>
              </m:r>
            </m:sub>
          </m:sSub>
          <m:d>
            <m:dPr>
              <m:begChr m:val="("/>
              <m:sepChr m:val=""/>
              <m:endChr m:val=")"/>
              <m:grow/>
            </m:dPr>
            <m:e>
              <m:f>
                <m:fPr>
                  <m:type m:val="bar"/>
                </m:fPr>
                <m:num>
                  <m:r>
                    <m:t>x</m:t>
                  </m:r>
                </m:num>
                <m:den>
                  <m:r>
                    <m:t>y</m:t>
                  </m:r>
                </m:den>
              </m:f>
            </m:e>
          </m:d>
        </m:oMath>
      </m:oMathPara>
    </w:p>
    <w:p>
      <w:pPr>
        <w:pStyle w:val="FirstParagraph"/>
      </w:pPr>
      <w:r>
        <w:rPr>
          <w:b/>
          <w:bCs/>
        </w:rPr>
        <w:t xml:space="preserve">Law 3 - Power Rule</w:t>
      </w:r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rPr>
                  <m:sty m:val="p"/>
                </m:rPr>
                <m:t>log</m:t>
              </m:r>
            </m:e>
            <m:sub>
              <m:r>
                <m:t>a</m:t>
              </m:r>
            </m:sub>
          </m:sSub>
          <m:d>
            <m:dPr>
              <m:begChr m:val="("/>
              <m:sepChr m:val=""/>
              <m:endChr m:val=")"/>
              <m:grow/>
            </m:dPr>
            <m:e>
              <m:sSup>
                <m:e>
                  <m:r>
                    <m:t>x</m:t>
                  </m:r>
                </m:e>
                <m:sup>
                  <m:r>
                    <m:t>n</m:t>
                  </m:r>
                </m:sup>
              </m:sSup>
            </m:e>
          </m:d>
          <m:r>
            <m:rPr>
              <m:sty m:val="p"/>
            </m:rPr>
            <m:t>=</m:t>
          </m:r>
          <m:r>
            <m:t>n</m:t>
          </m:r>
          <m:sSub>
            <m:e>
              <m:r>
                <m:rPr>
                  <m:sty m:val="p"/>
                </m:rPr>
                <m:t>log</m:t>
              </m:r>
            </m:e>
            <m:sub>
              <m:r>
                <m:t>a</m:t>
              </m:r>
            </m:sub>
          </m:sSub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</m:e>
          </m:d>
        </m:oMath>
      </m:oMathPara>
    </w:p>
    <w:p>
      <w:pPr>
        <w:pStyle w:val="FirstParagraph"/>
      </w:pPr>
      <w:r>
        <w:rPr>
          <w:b/>
          <w:bCs/>
        </w:rPr>
        <w:t xml:space="preserve">Law 4 - Zero Rule</w:t>
      </w:r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rPr>
                  <m:sty m:val="p"/>
                </m:rPr>
                <m:t>log</m:t>
              </m:r>
            </m:e>
            <m:sub>
              <m:r>
                <m:t>a</m:t>
              </m:r>
            </m:sub>
          </m:sSub>
          <m:d>
            <m:dPr>
              <m:begChr m:val="("/>
              <m:sepChr m:val=""/>
              <m:endChr m:val=")"/>
              <m:grow/>
            </m:dPr>
            <m:e>
              <m:r>
                <m:t>1</m:t>
              </m:r>
            </m:e>
          </m:d>
          <m:r>
            <m:rPr>
              <m:sty m:val="p"/>
            </m:rPr>
            <m:t>=</m:t>
          </m:r>
          <m:r>
            <m:t>0</m:t>
          </m:r>
        </m:oMath>
      </m:oMathPara>
    </w:p>
    <w:p>
      <w:pPr>
        <w:pStyle w:val="FirstParagraph"/>
      </w:pPr>
      <w:r>
        <w:rPr>
          <w:b/>
          <w:bCs/>
        </w:rPr>
        <w:t xml:space="preserve">Law 5 - Identity Rule</w:t>
      </w:r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rPr>
                  <m:sty m:val="p"/>
                </m:rPr>
                <m:t>log</m:t>
              </m:r>
            </m:e>
            <m:sub>
              <m:r>
                <m:t>a</m:t>
              </m:r>
            </m:sub>
          </m:sSub>
          <m:d>
            <m:dPr>
              <m:begChr m:val="("/>
              <m:sepChr m:val=""/>
              <m:endChr m:val=")"/>
              <m:grow/>
            </m:dPr>
            <m:e>
              <m:r>
                <m:t>a</m:t>
              </m:r>
            </m:e>
          </m:d>
          <m:r>
            <m:rPr>
              <m:sty m:val="p"/>
            </m:rPr>
            <m:t>=</m:t>
          </m:r>
          <m:r>
            <m:t>1</m:t>
          </m:r>
        </m:oMath>
      </m:oMathPara>
    </w:p>
    <w:p>
      <w:pPr>
        <w:pStyle w:val="FirstParagraph"/>
      </w:pPr>
      <w:r>
        <w:rPr>
          <w:b/>
          <w:bCs/>
        </w:rPr>
        <w:t xml:space="preserve">Law 6 - Change of Base Rule</w:t>
      </w:r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rPr>
                  <m:sty m:val="p"/>
                </m:rPr>
                <m:t>log</m:t>
              </m:r>
            </m:e>
            <m:sub>
              <m:r>
                <m:t>a</m:t>
              </m:r>
            </m:sub>
          </m:sSub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</m:e>
          </m:d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k</m:t>
                  </m:r>
                </m:sub>
              </m:sSub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</m:num>
            <m:den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k</m:t>
                  </m:r>
                </m:sub>
              </m:sSub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a</m:t>
                  </m:r>
                </m:e>
              </m:d>
            </m:den>
          </m:f>
        </m:oMath>
      </m:oMathPara>
    </w:p>
    <w:p>
      <w:pPr>
        <w:pStyle w:val="FirstParagraph"/>
      </w:pPr>
      <w:r>
        <w:t xml:space="preserve">or alternatively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rPr>
                  <m:sty m:val="p"/>
                </m:rPr>
                <m:t>log</m:t>
              </m:r>
            </m:e>
            <m:sub>
              <m:r>
                <m:t>k</m:t>
              </m:r>
            </m:sub>
          </m:sSub>
          <m:d>
            <m:dPr>
              <m:begChr m:val="("/>
              <m:sepChr m:val=""/>
              <m:endChr m:val=")"/>
              <m:grow/>
            </m:dPr>
            <m:e>
              <m:r>
                <m:t>a</m:t>
              </m:r>
            </m:e>
          </m:d>
          <m:sSub>
            <m:e>
              <m:r>
                <m:rPr>
                  <m:sty m:val="p"/>
                </m:rPr>
                <m:t>log</m:t>
              </m:r>
            </m:e>
            <m:sub>
              <m:r>
                <m:t>a</m:t>
              </m:r>
            </m:sub>
          </m:sSub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</m:e>
          </m:d>
          <m:r>
            <m:rPr>
              <m:sty m:val="p"/>
            </m:rPr>
            <m:t>=</m:t>
          </m:r>
          <m:sSub>
            <m:e>
              <m:r>
                <m:rPr>
                  <m:sty m:val="p"/>
                </m:rPr>
                <m:t>log</m:t>
              </m:r>
            </m:e>
            <m:sub>
              <m:r>
                <m:t>k</m:t>
              </m:r>
            </m:sub>
          </m:sSub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</m:e>
          </m:d>
        </m:oMath>
      </m:oMathPara>
    </w:p>
    <w:p>
      <w:pPr>
        <w:pStyle w:val="FirstParagraph"/>
      </w:pPr>
      <w:hyperlink r:id="rId20">
        <w:r>
          <w:rPr>
            <w:rStyle w:val="Hyperlink"/>
          </w:rPr>
          <w:t xml:space="preserve">For more on the subject, please go to Guide: Introduction to logarithms</w:t>
        </w:r>
      </w:hyperlink>
      <w:r>
        <w:t xml:space="preserve">.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1"/>
    <w:bookmarkStart w:id="23" w:name="version-history"/>
    <w:p>
      <w:pPr>
        <w:pStyle w:val="Heading2"/>
      </w:pPr>
      <w:r>
        <w:t xml:space="preserve">Version history</w:t>
      </w:r>
    </w:p>
    <w:p>
      <w:pPr>
        <w:pStyle w:val="FirstParagraph"/>
      </w:pPr>
      <w:r>
        <w:t xml:space="preserve">v1.0: created in 02/25 by Millie Pike as part of a University of St Andrews VIP project.</w:t>
      </w:r>
    </w:p>
    <w:p>
      <w:pPr>
        <w:pStyle w:val="Compact"/>
        <w:numPr>
          <w:ilvl w:val="0"/>
          <w:numId w:val="1001"/>
        </w:numPr>
      </w:pPr>
      <w:r>
        <w:t xml:space="preserve">v1.1: updated 11/25 by tdhc.</w:t>
      </w:r>
    </w:p>
    <w:p>
      <w:pPr>
        <w:pStyle w:val="FirstParagraph"/>
      </w:pPr>
      <w:hyperlink r:id="rId22">
        <w:r>
          <w:rPr>
            <w:rStyle w:val="Hyperlink"/>
          </w:rPr>
          <w:t xml:space="preserve">This work is licensed under CC BY-NC-SA 4.0.</w:t>
        </w:r>
      </w:hyperlink>
    </w:p>
    <w:bookmarkEnd w:id="23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../studyguides/logarithms.qmd" TargetMode="External" /><Relationship Type="http://schemas.openxmlformats.org/officeDocument/2006/relationships/hyperlink" Id="rId22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../studyguides/logarithms.qmd" TargetMode="External" /><Relationship Type="http://schemas.openxmlformats.org/officeDocument/2006/relationships/hyperlink" Id="rId22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Factsheet: Laws of logarithms</dc:title>
  <dc:creator>Millie Pike</dc:creator>
  <cp:keywords/>
  <dcterms:created xsi:type="dcterms:W3CDTF">2026-04-16T12:23:09Z</dcterms:created>
  <dcterms:modified xsi:type="dcterms:W3CDTF">2026-04-16T12:23:09Z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 list of laws of logarithms.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header-includes">
    <vt:lpwstr/>
  </property>
  <property fmtid="{D5CDD505-2E9C-101B-9397-08002B2CF9AE}" pid="9" name="include-after">
    <vt:lpwstr/>
  </property>
  <property fmtid="{D5CDD505-2E9C-101B-9397-08002B2CF9AE}" pid="10" name="include-before">
    <vt:lpwstr/>
  </property>
  <property fmtid="{D5CDD505-2E9C-101B-9397-08002B2CF9AE}" pid="11" name="labels">
    <vt:lpwstr/>
  </property>
  <property fmtid="{D5CDD505-2E9C-101B-9397-08002B2CF9AE}" pid="12" name="toc-title">
    <vt:lpwstr>Table of contents</vt:lpwstr>
  </property>
</Properties>
</file>