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Factsheet: Hyperbolic identities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list of hyperbolic trig identities.</w:t>
      </w:r>
    </w:p>
    <w:p>
      <w:pPr>
        <w:pStyle w:val="FirstParagraph"/>
      </w:pPr>
      <w:r>
        <w:rPr>
          <w:i/>
          <w:iCs/>
        </w:rPr>
        <w:t xml:space="preserve">These are common definitions and identities for hyperbolic functions. For derivatives and antiderivatives, please see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Factsheet: List of derivatives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and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Factsheet: List of integrals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respectively.</w:t>
      </w:r>
    </w:p>
    <w:bookmarkStart w:id="22" w:name="definitions-of-hyperbolic-functions"/>
    <w:p>
      <w:pPr>
        <w:pStyle w:val="Heading2"/>
      </w:pPr>
      <w:r>
        <w:t xml:space="preserve">Definitions of hyperbolic functions</w:t>
      </w:r>
    </w:p>
    <w:p>
      <w:pPr>
        <w:pStyle w:val="FirstParagraph"/>
      </w:pPr>
      <w:r>
        <w:t xml:space="preserve">For all real numbers</w:t>
      </w:r>
      <w:r>
        <w:t xml:space="preserve"> </w:t>
      </w:r>
      <m:oMath>
        <m:r>
          <m:t>x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num>
                  <m:den>
                    <m:r>
                      <m:t>2</m:t>
                    </m:r>
                  </m:den>
                </m:f>
              </m:e>
            </m:mr>
            <m:mr>
              <m:e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num>
                  <m:den>
                    <m:r>
                      <m:t>2</m:t>
                    </m:r>
                  </m:den>
                </m:f>
              </m:e>
            </m:mr>
            <m:mr>
              <m:e>
                <m:r>
                  <m:rPr>
                    <m:sty m:val="p"/>
                  </m:rPr>
                  <m:t>tanh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sinh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m:t>cosh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num>
                  <m:den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nor/>
                    <m:sty m:val="p"/>
                  </m:rPr>
                  <m:t>coth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cosh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rPr>
                        <m:sty m:val="p"/>
                      </m:rPr>
                      <m:t>sinh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num>
                  <m:den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nor/>
                    <m:sty m:val="p"/>
                  </m:rPr>
                  <m:t>sech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rPr>
                        <m:sty m:val="p"/>
                      </m:rPr>
                      <m:t>cosh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den>
                </m:f>
              </m:e>
            </m:mr>
            <m:mr>
              <m:e>
                <m:r>
                  <m:rPr>
                    <m:nor/>
                    <m:sty m:val="p"/>
                  </m:rPr>
                  <m:t>csch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rPr>
                        <m:sty m:val="p"/>
                      </m:rPr>
                      <m:t>sinh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</m:t>
                    </m:r>
                  </m:num>
                  <m:den>
                    <m:sSup>
                      <m:e>
                        <m:r>
                          <m:t>e</m:t>
                        </m:r>
                      </m:e>
                      <m:sup>
                        <m:r>
                          <m:t>x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sSup>
                      <m:e>
                        <m: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t>x</m:t>
                        </m:r>
                      </m:sup>
                    </m:sSup>
                  </m:den>
                </m:f>
              </m:e>
            </m:mr>
          </m:m>
        </m:oMath>
      </m:oMathPara>
    </w:p>
    <w:bookmarkEnd w:id="22"/>
    <w:bookmarkStart w:id="23" w:name="hyperbolic-identities"/>
    <w:p>
      <w:pPr>
        <w:pStyle w:val="Heading2"/>
      </w:pPr>
      <w:r>
        <w:t xml:space="preserve">Hyperbolic identities</w:t>
      </w:r>
    </w:p>
    <w:p>
      <w:pPr>
        <w:pStyle w:val="FirstParagraph"/>
      </w:pPr>
      <w:r>
        <w:rPr>
          <w:b/>
          <w:bCs/>
        </w:rPr>
        <w:t xml:space="preserve">Pythagorean formulas</w:t>
      </w:r>
    </w:p>
    <w:p>
      <w:pPr>
        <w:pStyle w:val="BodyText"/>
      </w:pPr>
      <w:r>
        <w:t xml:space="preserve">For all real numbers</w:t>
      </w:r>
      <w:r>
        <w:t xml:space="preserve"> </w:t>
      </w:r>
      <m:oMath>
        <m:r>
          <m:t>x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r>
                      <m:rPr>
                        <m:sty m:val="p"/>
                      </m:rPr>
                      <m:t>cosh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sinh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1</m:t>
                </m:r>
              </m:e>
            </m:mr>
            <m:m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tanh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nor/>
                        <m:sty m:val="p"/>
                      </m:rPr>
                      <m:t>sech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mr>
            <m:mr>
              <m:e>
                <m:sSup>
                  <m:e>
                    <m:r>
                      <m:rPr>
                        <m:sty m:val="p"/>
                      </m:rPr>
                      <m:t>coth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nor/>
                        <m:sty m:val="p"/>
                      </m:rPr>
                      <m:t>csch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Sum and difference formulas</w:t>
      </w:r>
    </w:p>
    <w:p>
      <w:pPr>
        <w:pStyle w:val="BodyText"/>
      </w:pPr>
      <w:r>
        <w:t xml:space="preserve">For all real numbers</w:t>
      </w:r>
      <w:r>
        <w:t xml:space="preserve"> </w:t>
      </w:r>
      <m:oMath>
        <m:r>
          <m:t>x</m:t>
        </m:r>
        <m:r>
          <m:rPr>
            <m:sty m:val="p"/>
          </m:rPr>
          <m:t>,</m:t>
        </m:r>
        <m:r>
          <m:t>y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y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+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</m:den>
                </m:f>
              </m:e>
            </m:mr>
            <m:mr>
              <m:e>
                <m:r>
                  <m:rPr>
                    <m:sty m:val="p"/>
                  </m:rPr>
                  <m:t>tanh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y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y</m:t>
                        </m:r>
                      </m:e>
                    </m:d>
                  </m:den>
                </m:f>
              </m:e>
            </m:mr>
          </m:m>
        </m:oMath>
      </m:oMathPara>
    </w:p>
    <w:p>
      <w:pPr>
        <w:pStyle w:val="FirstParagraph"/>
      </w:pPr>
      <w:r>
        <w:rPr>
          <w:b/>
          <w:bCs/>
        </w:rPr>
        <w:t xml:space="preserve">Double angle formulas</w:t>
      </w:r>
    </w:p>
    <w:p>
      <w:pPr>
        <w:pStyle w:val="BodyText"/>
      </w:pPr>
      <w:r>
        <w:t xml:space="preserve">For all real numbers</w:t>
      </w:r>
      <w:r>
        <w:t xml:space="preserve"> </w:t>
      </w:r>
      <m:oMath>
        <m:r>
          <m:t>x</m:t>
        </m:r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m>
            <m:mPr>
              <m:baseJc m:val="center"/>
              <m:plcHide m:val="on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r>
                      <m:rPr>
                        <m:sty m:val="p"/>
                      </m:rPr>
                      <m:t>cosh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+</m:t>
                </m:r>
                <m:sSup>
                  <m:e>
                    <m:r>
                      <m:rPr>
                        <m:sty m:val="p"/>
                      </m:rPr>
                      <m:t>sinh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sinh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  <m:r>
                  <m:rPr>
                    <m:sty m:val="p"/>
                  </m:rPr>
                  <m:t>cosh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x</m:t>
                    </m:r>
                  </m:e>
                </m:d>
              </m:e>
            </m:mr>
            <m:mr>
              <m:e>
                <m:r>
                  <m:rPr>
                    <m:sty m:val="p"/>
                  </m:rPr>
                  <m:t>tanh</m:t>
                </m:r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2</m:t>
                    </m:r>
                    <m:r>
                      <m:t>x</m:t>
                    </m:r>
                  </m:e>
                </m:d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t>2</m:t>
                    </m:r>
                    <m:r>
                      <m:rPr>
                        <m:sty m:val="p"/>
                      </m:rPr>
                      <m:t>tanh</m:t>
                    </m:r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num>
                  <m:den>
                    <m:r>
                      <m:t>1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e>
                        <m:r>
                          <m:rPr>
                            <m:sty m:val="p"/>
                          </m:rPr>
                          <m:t>tanh</m:t>
                        </m:r>
                      </m:e>
                      <m:sup>
                        <m:r>
                          <m:t>2</m:t>
                        </m:r>
                      </m:sup>
                    </m:sSup>
                    <m:d>
                      <m:dPr>
                        <m:begChr m:val="("/>
                        <m:sepChr m:val=""/>
                        <m:endChr m:val=")"/>
                        <m:grow/>
                      </m:dPr>
                      <m:e>
                        <m:r>
                          <m:t>x</m:t>
                        </m:r>
                      </m:e>
                    </m:d>
                  </m:den>
                </m:f>
              </m:e>
            </m:mr>
          </m:m>
        </m:oMath>
      </m:oMathPara>
    </w:p>
    <w:bookmarkEnd w:id="23"/>
    <w:bookmarkStart w:id="24" w:name="X63d1f4db291f8f1666f1627b803354c46e6d2ce"/>
    <w:p>
      <w:pPr>
        <w:pStyle w:val="Heading2"/>
      </w:pPr>
      <w:r>
        <w:t xml:space="preserve">Definitions of inverse hyperbolic functions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879"/>
        <w:gridCol w:w="2953"/>
        <w:gridCol w:w="3087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function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logarithmic definition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validity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rPr>
                      <m:sty m:val="p"/>
                    </m:rPr>
                    <m:t>sinh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rad>
                </m:e>
              </m:d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rPr>
                      <m:sty m:val="p"/>
                    </m:rPr>
                    <m:t>cosh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sSup>
                        <m:e>
                          <m:r>
                            <m:t>x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rad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x</m:t>
              </m:r>
              <m:r>
                <m:rPr>
                  <m:sty m:val="p"/>
                </m:rPr>
                <m:t>≥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rPr>
                      <m:sty m:val="p"/>
                    </m:rPr>
                    <m:t>tanh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x</m:t>
                      </m:r>
                    </m:num>
                    <m:den>
                      <m:r>
                        <m:t>1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x</m:t>
                      </m:r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&lt;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rPr>
                      <m:nor/>
                      <m:sty m:val="p"/>
                    </m:rPr>
                    <m:t>coth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num>
                    <m:den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den>
                  </m:f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d>
                <m:dPr>
                  <m:begChr m:val="|"/>
                  <m:sepChr m:val=""/>
                  <m:endChr m:val="|"/>
                  <m:grow/>
                </m:dPr>
                <m:e>
                  <m:r>
                    <m:t>x</m:t>
                  </m:r>
                </m:e>
              </m:d>
              <m:r>
                <m:rPr>
                  <m:sty m:val="p"/>
                </m:rPr>
                <m:t>&gt;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rPr>
                      <m:nor/>
                      <m:sty m:val="p"/>
                    </m:rPr>
                    <m:t>sech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x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p>
                            <m:e>
                              <m:r>
                                <m:t>x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m:t>−</m:t>
                      </m:r>
                      <m:r>
                        <m:t>1</m:t>
                      </m:r>
                    </m:e>
                  </m:rad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x</m:t>
              </m:r>
              <m:r>
                <m:rPr>
                  <m:sty m:val="p"/>
                </m:rPr>
                <m:t>≤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sSup>
                <m:e>
                  <m:r>
                    <m:rPr>
                      <m:nor/>
                      <m:sty m:val="p"/>
                    </m:rPr>
                    <m:t>csch</m:t>
                  </m:r>
                </m:e>
                <m:sup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sup>
              </m:sSup>
              <m:d>
                <m:dPr>
                  <m:begChr m:val="("/>
                  <m:sepChr m:val=""/>
                  <m:endChr m:val=")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ln</m:t>
              </m:r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x</m:t>
                      </m:r>
                    </m:den>
                  </m:f>
                  <m:r>
                    <m:rPr>
                      <m:sty m:val="p"/>
                    </m:rPr>
                    <m:t>+</m:t>
                  </m:r>
                  <m:rad>
                    <m:radPr>
                      <m:degHide m:val="on"/>
                    </m:radPr>
                    <m:deg/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sSup>
                            <m:e>
                              <m:r>
                                <m:t>x</m:t>
                              </m:r>
                            </m:e>
                            <m:sup>
                              <m:r>
                                <m:t>2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rad>
                </m:e>
              </m:d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x</m:t>
              </m:r>
              <m:r>
                <m:rPr>
                  <m:sty m:val="p"/>
                </m:rPr>
                <m:t>≠</m:t>
              </m:r>
              <m:r>
                <m:t>0</m:t>
              </m:r>
            </m:oMath>
          </w:p>
        </w:tc>
      </w:tr>
    </w:tbl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Start w:id="26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created in 08/25 by tdhc.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-commonderivatives.qmd" TargetMode="External" /><Relationship Type="http://schemas.openxmlformats.org/officeDocument/2006/relationships/hyperlink" Id="rId21" Target="f-commonintegral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-commonderivatives.qmd" TargetMode="External" /><Relationship Type="http://schemas.openxmlformats.org/officeDocument/2006/relationships/hyperlink" Id="rId21" Target="f-commonintegrals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Factsheet: Hyperbolic identities</dc:title>
  <dc:creator>Tom Coleman</dc:creator>
  <cp:keywords/>
  <dcterms:created xsi:type="dcterms:W3CDTF">2026-04-16T12:23:30Z</dcterms:created>
  <dcterms:modified xsi:type="dcterms:W3CDTF">2026-04-16T12:23:30Z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list of hyperbolic trig identities.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