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Factsheet: Geometric distribution</w:t>
      </w:r>
    </w:p>
    <w:p>
      <w:pPr>
        <w:pStyle w:val="Author"/>
      </w:pPr>
      <w:r>
        <w:t xml:space="preserve">Michelle Arnetta and 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factsheet for the geometric distribution.</w:t>
      </w:r>
    </w:p>
    <w:p>
      <w:pPr>
        <w:pStyle w:val="CaptionedFigure"/>
      </w:pPr>
      <w:r>
        <w:drawing>
          <wp:inline>
            <wp:extent cx="4754880" cy="4676931"/>
            <wp:effectExtent b="0" l="0" r="0" t="0"/>
            <wp:docPr descr="An example of the geometric distribution with p=0.15." title="" id="21" name="Picture"/>
            <a:graphic>
              <a:graphicData uri="http://schemas.openxmlformats.org/drawingml/2006/picture">
                <pic:pic>
                  <pic:nvPicPr>
                    <pic:cNvPr descr="./FiguresPNG/f-geomdis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46769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An example of the geometric distribution with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0.15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Where to use:</w:t>
      </w:r>
      <w:r>
        <w:t xml:space="preserve"> </w:t>
      </w:r>
      <w:r>
        <w:t xml:space="preserve">The geometric distribution is used to count</w:t>
      </w:r>
      <w:r>
        <w:t xml:space="preserve"> </w:t>
      </w:r>
      <m:oMath>
        <m:r>
          <m:t>X</m:t>
        </m:r>
      </m:oMath>
      <w:r>
        <w:t xml:space="preserve">, the number of Bernoulli trials until a successful outcome is reached.</w:t>
      </w:r>
    </w:p>
    <w:p>
      <w:pPr>
        <w:pStyle w:val="BodyText"/>
      </w:pPr>
      <w:r>
        <w:rPr>
          <w:b/>
          <w:bCs/>
        </w:rPr>
        <w:t xml:space="preserve">Notation:</w:t>
      </w:r>
      <w:r>
        <w:t xml:space="preserve"> </w:t>
      </w:r>
      <m:oMath>
        <m:r>
          <m:t>X</m:t>
        </m:r>
        <m:r>
          <m:rPr>
            <m:sty m:val="p"/>
          </m:rPr>
          <m:t>∼</m:t>
        </m:r>
        <m:r>
          <m:rPr>
            <m:nor/>
            <m:sty m:val="p"/>
          </m:rPr>
          <m:t>Geometric</m:t>
        </m:r>
        <m:d>
          <m:dPr>
            <m:begChr m:val="("/>
            <m:sepChr m:val=""/>
            <m:endChr m:val=")"/>
            <m:grow/>
          </m:dPr>
          <m:e>
            <m:r>
              <m:t>p</m:t>
            </m:r>
          </m:e>
        </m:d>
      </m:oMath>
    </w:p>
    <w:p>
      <w:pPr>
        <w:pStyle w:val="BodyText"/>
      </w:pPr>
      <w:r>
        <w:rPr>
          <w:b/>
          <w:bCs/>
        </w:rPr>
        <w:t xml:space="preserve">Parameter: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the real number representing the probability of success in a single trial (where</w:t>
      </w:r>
      <w:r>
        <w:t xml:space="preserve"> </w:t>
      </w:r>
      <m:oMath>
        <m:r>
          <m:t>0</m:t>
        </m:r>
        <m:r>
          <m:rPr>
            <m:sty m:val="p"/>
          </m:rPr>
          <m:t>≤</m:t>
        </m:r>
        <m:r>
          <m:t>p</m:t>
        </m:r>
        <m:r>
          <m:rPr>
            <m:sty m:val="p"/>
          </m:rPr>
          <m:t>≤</m:t>
        </m:r>
        <m:r>
          <m:t>1</m:t>
        </m:r>
      </m:oMath>
      <w:r>
        <w:t xml:space="preserve">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28"/>
        <w:gridCol w:w="3960"/>
        <w:gridCol w:w="273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Mean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E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p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Variance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V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p</m:t>
                  </m:r>
                </m:num>
                <m:den>
                  <m:sSup>
                    <m:e>
                      <m:r>
                        <m:t>p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PMF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p</m:t>
                      </m:r>
                    </m:e>
                  </m:d>
                </m:e>
                <m:sup>
                  <m: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t>p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CDF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≤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d>
                <m:dPr>
                  <m:begChr m:val="{"/>
                  <m:sepChr m:val=""/>
                  <m:endChr m:val=""/>
                  <m:grow/>
                </m:dPr>
                <m:e>
                  <m:m>
                    <m:mPr>
                      <m:baseJc m:val="center"/>
                      <m:plcHide m:val="on"/>
                      <m:mcs>
                        <m:mc>
                          <m:mcPr>
                            <m:mcJc m:val="left"/>
                            <m:count m:val="1"/>
                          </m:mcPr>
                        </m:mc>
                        <m:mc>
                          <m:mcPr>
                            <m:mcJc m:val="left"/>
                            <m:count m:val="1"/>
                          </m:mcPr>
                        </m:mc>
                      </m:mcs>
                    </m:mPr>
                    <m:m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e>
                            <m:d>
                              <m:dPr>
                                <m:begChr m:val="("/>
                                <m:sepChr m:val=""/>
                                <m:endChr m:val=")"/>
                                <m:grow/>
                              </m:dPr>
                              <m:e>
                                <m:r>
                                  <m:t>1</m:t>
                                </m:r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t>p</m:t>
                                </m:r>
                              </m:e>
                            </m:d>
                          </m:e>
                          <m:sup>
                            <m:r>
                              <m:t>x</m:t>
                            </m:r>
                          </m:sup>
                        </m:sSup>
                      </m:e>
                      <m:e>
                        <m:r>
                          <m:rPr>
                            <m:nor/>
                            <m:sty m:val="p"/>
                            <m:scr m:val="sans-serif"/>
                          </m:rPr>
                          <m:t>if 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≥</m:t>
                        </m:r>
                        <m:r>
                          <m:t>0</m:t>
                        </m:r>
                      </m:e>
                    </m:mr>
                    <m:mr>
                      <m:e>
                        <m:r>
                          <m:t>0</m:t>
                        </m:r>
                      </m:e>
                      <m:e>
                        <m:r>
                          <m:rPr>
                            <m:nor/>
                            <m:sty m:val="p"/>
                            <m:scr m:val="sans-serif"/>
                          </m:rPr>
                          <m:t>if 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&lt;</m:t>
                        </m:r>
                        <m: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Example:</w:t>
      </w:r>
      <w:r>
        <w:t xml:space="preserve"> </w:t>
      </w:r>
      <w:r>
        <w:t xml:space="preserve">You flip a coin multiple times, and the probability of getting</w:t>
      </w:r>
      <w:r>
        <w:t xml:space="preserve"> </w:t>
      </w:r>
      <w:r>
        <w:t xml:space="preserve">‘heads’</w:t>
      </w:r>
      <w:r>
        <w:t xml:space="preserve"> </w:t>
      </w:r>
      <w:r>
        <w:t xml:space="preserve">is</w:t>
      </w:r>
      <w:r>
        <w:t xml:space="preserve"> </w:t>
      </w:r>
      <m:oMath>
        <m:r>
          <m:t>0.5</m:t>
        </m:r>
      </m:oMath>
      <w:r>
        <w:t xml:space="preserve">. You decide to stop flipping the coin once you get a</w:t>
      </w:r>
      <w:r>
        <w:t xml:space="preserve"> </w:t>
      </w:r>
      <w:r>
        <w:t xml:space="preserve">‘heads’</w:t>
      </w:r>
      <w:r>
        <w:t xml:space="preserve">. Taking</w:t>
      </w:r>
      <w:r>
        <w:t xml:space="preserve"> </w:t>
      </w:r>
      <w:r>
        <w:t xml:space="preserve">‘heads’</w:t>
      </w:r>
      <w:r>
        <w:t xml:space="preserve"> </w:t>
      </w:r>
      <w:r>
        <w:t xml:space="preserve">as a success, this can be expressed as</w:t>
      </w:r>
      <w:r>
        <w:t xml:space="preserve"> </w:t>
      </w:r>
      <m:oMath>
        <m:r>
          <m:t>X</m:t>
        </m:r>
        <m:r>
          <m:rPr>
            <m:sty m:val="p"/>
          </m:rPr>
          <m:t>∼</m:t>
        </m:r>
        <m:r>
          <m:rPr>
            <m:nor/>
            <m:sty m:val="p"/>
          </m:rPr>
          <m:t>Geometric</m:t>
        </m:r>
        <m:d>
          <m:dPr>
            <m:begChr m:val="("/>
            <m:sepChr m:val=""/>
            <m:endChr m:val=")"/>
            <m:grow/>
          </m:dPr>
          <m:e>
            <m:r>
              <m:t>0.5</m:t>
            </m:r>
          </m:e>
        </m:d>
      </m:oMath>
      <w:r>
        <w:t xml:space="preserve">. It means the probability of success is</w:t>
      </w:r>
      <w:r>
        <w:t xml:space="preserve"> </w:t>
      </w:r>
      <m:oMath>
        <m:r>
          <m:t>0.5</m:t>
        </m:r>
      </m:oMath>
      <w:r>
        <w:t xml:space="preserve">, and you will stop conducting trials after you reach a success.</w:t>
      </w:r>
    </w:p>
    <w:bookmarkStart w:id="26" w:name="further-reading"/>
    <w:p>
      <w:pPr>
        <w:pStyle w:val="Heading1"/>
      </w:pPr>
      <w:r>
        <w:t xml:space="preserve">Further reading</w:t>
      </w:r>
    </w:p>
    <w:p>
      <w:pPr>
        <w:pStyle w:val="FirstParagraph"/>
      </w:pPr>
      <w:hyperlink r:id="rId23">
        <w:r>
          <w:rPr>
            <w:rStyle w:val="Hyperlink"/>
          </w:rPr>
          <w:t xml:space="preserve">This interactive element appears in Overview: Probability distributions. Please click this link to go to the guide.</w:t>
        </w:r>
      </w:hyperlink>
    </w:p>
    <w:bookmarkStart w:id="25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initial version created 04/25 by tdhc and Michelle Arnetta as part of a University of St Andrews VIP project.</w:t>
      </w:r>
    </w:p>
    <w:p>
      <w:pPr>
        <w:pStyle w:val="Compact"/>
        <w:numPr>
          <w:ilvl w:val="0"/>
          <w:numId w:val="1001"/>
        </w:numPr>
      </w:pPr>
      <w:r>
        <w:t xml:space="preserve">v1.1: moved to factsheet form and populated with material from</w:t>
      </w:r>
      <w:r>
        <w:t xml:space="preserve"> </w:t>
      </w:r>
      <w:hyperlink r:id="rId23">
        <w:r>
          <w:rPr>
            <w:rStyle w:val="Hyperlink"/>
          </w:rPr>
          <w:t xml:space="preserve">Overview: Probability distributions</w:t>
        </w:r>
      </w:hyperlink>
      <w:r>
        <w:t xml:space="preserve"> </w:t>
      </w:r>
      <w:r>
        <w:t xml:space="preserve">by tdhc.</w:t>
      </w:r>
    </w:p>
    <w:p>
      <w:pPr>
        <w:pStyle w:val="FirstParagraph"/>
      </w:pPr>
      <w:hyperlink r:id="rId24">
        <w:r>
          <w:rPr>
            <w:rStyle w:val="Hyperlink"/>
          </w:rPr>
          <w:t xml:space="preserve">This work is licensed under CC BY-NC-SA 4.0.</w:t>
        </w:r>
      </w:hyperlink>
    </w:p>
    <w:bookmarkEnd w:id="25"/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3" Target="../overviews/o-distribution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overviews/o-distribution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Geometric distribution</dc:title>
  <dc:creator>Michelle Arnetta and Tom Coleman</dc:creator>
  <cp:keywords/>
  <dcterms:created xsi:type="dcterms:W3CDTF">2026-04-16T12:24:20Z</dcterms:created>
  <dcterms:modified xsi:type="dcterms:W3CDTF">2026-04-16T12:24:20Z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factsheet for the geometric distribution.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