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Factsheet: Beta distribution</w:t>
      </w:r>
    </w:p>
    <w:p>
      <w:pPr>
        <w:pStyle w:val="Author"/>
      </w:pPr>
      <w:r>
        <w:t xml:space="preserve">Michelle Arnetta and 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factsheet about the beta distribution.</w:t>
      </w:r>
    </w:p>
    <w:p>
      <w:pPr>
        <w:pStyle w:val="CaptionedFigure"/>
      </w:pPr>
      <w:r>
        <w:drawing>
          <wp:inline>
            <wp:extent cx="4754880" cy="5144624"/>
            <wp:effectExtent b="0" l="0" r="0" t="0"/>
            <wp:docPr descr="An example of the beta distribution with \alpha = 1.5 and \beta = 2.5." title="" id="21" name="Picture"/>
            <a:graphic>
              <a:graphicData uri="http://schemas.openxmlformats.org/drawingml/2006/picture">
                <pic:pic>
                  <pic:nvPicPr>
                    <pic:cNvPr descr="./FiguresPNG/f-betadis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51446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An example of the beta distribution with</w:t>
      </w:r>
      <w:r>
        <w:t xml:space="preserve"> </w:t>
      </w:r>
      <m:oMath>
        <m:r>
          <m:t>α</m:t>
        </m:r>
        <m:r>
          <m:rPr>
            <m:sty m:val="p"/>
          </m:rPr>
          <m:t>=</m:t>
        </m:r>
        <m:r>
          <m:t>1.5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β</m:t>
        </m:r>
        <m:r>
          <m:rPr>
            <m:sty m:val="p"/>
          </m:rPr>
          <m:t>=</m:t>
        </m:r>
        <m:r>
          <m:t>2.5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Where to use:</w:t>
      </w:r>
      <w:r>
        <w:t xml:space="preserve"> </w:t>
      </w:r>
      <w:r>
        <w:t xml:space="preserve">The beta distribution is used to model the distribution of</w:t>
      </w:r>
      <w:r>
        <w:t xml:space="preserve"> </w:t>
      </w:r>
      <w:r>
        <w:rPr>
          <w:i/>
          <w:iCs/>
        </w:rPr>
        <w:t xml:space="preserve">probabilities</w:t>
      </w:r>
      <w:r>
        <w:t xml:space="preserve"> </w:t>
      </w:r>
      <w:r>
        <w:t xml:space="preserve">or proportions. Hence, the random variable</w:t>
      </w:r>
      <w:r>
        <w:t xml:space="preserve"> </w:t>
      </w:r>
      <m:oMath>
        <m:r>
          <m:t>0</m:t>
        </m:r>
        <m:r>
          <m:rPr>
            <m:sty m:val="p"/>
          </m:rPr>
          <m:t>≤</m:t>
        </m:r>
        <m:r>
          <m:t>X</m:t>
        </m:r>
        <m:r>
          <m:rPr>
            <m:sty m:val="p"/>
          </m:rPr>
          <m:t>≤</m:t>
        </m:r>
        <m:r>
          <m:t>1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Notation: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r>
          <m:rPr>
            <m:nor/>
            <m:sty m:val="p"/>
          </m:rPr>
          <m:t>Beta</m:t>
        </m:r>
        <m:d>
          <m:dPr>
            <m:begChr m:val="("/>
            <m:sepChr m:val=""/>
            <m:endChr m:val=")"/>
            <m:grow/>
          </m:dPr>
          <m:e>
            <m:r>
              <m:t>α</m:t>
            </m:r>
            <m:r>
              <m:rPr>
                <m:sty m:val="p"/>
              </m:rPr>
              <m:t>,</m:t>
            </m:r>
            <m:r>
              <m:t>β</m:t>
            </m:r>
          </m:e>
        </m:d>
      </m:oMath>
    </w:p>
    <w:p>
      <w:pPr>
        <w:pStyle w:val="BodyText"/>
      </w:pPr>
      <w:r>
        <w:rPr>
          <w:b/>
          <w:bCs/>
        </w:rPr>
        <w:t xml:space="preserve">Parameters:</w:t>
      </w:r>
      <w:r>
        <w:t xml:space="preserve"> </w:t>
      </w:r>
      <w:r>
        <w:t xml:space="preserve">Two positive real numbers</w:t>
      </w:r>
      <w:r>
        <w:t xml:space="preserve"> </w:t>
      </w:r>
      <m:oMath>
        <m:r>
          <m:t>α</m:t>
        </m:r>
        <m:r>
          <m:rPr>
            <m:sty m:val="p"/>
          </m:rPr>
          <m:t>,</m:t>
        </m:r>
        <m:r>
          <m:t>β</m:t>
        </m:r>
      </m:oMath>
      <w:r>
        <w:t xml:space="preserve">, which are shape parameters. These can be specified as follows in terms of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the number of Bernoulli trials 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the number of successes:</w:t>
      </w:r>
    </w:p>
    <w:p>
      <w:pPr>
        <w:pStyle w:val="Compact"/>
        <w:numPr>
          <w:ilvl w:val="0"/>
          <w:numId w:val="1001"/>
        </w:numPr>
      </w:pPr>
      <m:oMath>
        <m:r>
          <m:t>α</m:t>
        </m:r>
        <m:r>
          <m:rPr>
            <m:sty m:val="p"/>
          </m:rPr>
          <m:t>=</m:t>
        </m:r>
        <m:r>
          <m:t>k</m:t>
        </m:r>
        <m:r>
          <m:rPr>
            <m:sty m:val="p"/>
          </m:rPr>
          <m:t>+</m:t>
        </m:r>
        <m:r>
          <m:t>1</m:t>
        </m:r>
      </m:oMath>
    </w:p>
    <w:p>
      <w:pPr>
        <w:pStyle w:val="Compact"/>
        <w:numPr>
          <w:ilvl w:val="0"/>
          <w:numId w:val="1001"/>
        </w:numPr>
      </w:pPr>
      <m:oMath>
        <m:r>
          <m:t>β</m:t>
        </m:r>
        <m:r>
          <m:rPr>
            <m:sty m:val="p"/>
          </m:rPr>
          <m:t>=</m:t>
        </m:r>
        <m:r>
          <m:t>n</m:t>
        </m:r>
        <m:r>
          <m:rPr>
            <m:sty m:val="p"/>
          </m:rPr>
          <m:t>−</m:t>
        </m:r>
        <m:r>
          <m:t>k</m:t>
        </m:r>
        <m:r>
          <m:rPr>
            <m:sty m:val="p"/>
          </m:rPr>
          <m:t>+</m:t>
        </m:r>
        <m:r>
          <m:t>1</m:t>
        </m:r>
      </m:oMath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28"/>
        <w:gridCol w:w="3960"/>
        <w:gridCol w:w="273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Mean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E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α</m:t>
                  </m:r>
                </m:num>
                <m:den>
                  <m:r>
                    <m:t>α</m:t>
                  </m:r>
                  <m:r>
                    <m:rPr>
                      <m:sty m:val="p"/>
                    </m:rPr>
                    <m:t>+</m:t>
                  </m:r>
                  <m:r>
                    <m:t>β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Variance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α</m:t>
                  </m:r>
                  <m:r>
                    <m:t>β</m:t>
                  </m:r>
                </m:num>
                <m:den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α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β</m:t>
                          </m:r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α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β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e>
                  </m:d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PDF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p>
                    <m:e>
                      <m:r>
                        <m:t>x</m:t>
                      </m:r>
                    </m:e>
                    <m:sup>
                      <m:r>
                        <m:t>α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x</m:t>
                          </m:r>
                        </m:e>
                      </m:d>
                    </m:e>
                    <m:sup>
                      <m:r>
                        <m:t>β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</m:num>
                <m:den>
                  <m:r>
                    <m:rPr>
                      <m:nor/>
                      <m:sty m:val="p"/>
                    </m:rPr>
                    <m:t>B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α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t>β</m:t>
                      </m:r>
                    </m:e>
                  </m:d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B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y</m:t>
                  </m:r>
                </m:e>
              </m:d>
            </m:oMath>
            <w:r>
              <w:t xml:space="preserve"> </w:t>
            </w:r>
            <w:r>
              <w:t xml:space="preserve">is the beta function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CDF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≤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t>I</m:t>
                  </m:r>
                </m:e>
                <m:sub>
                  <m:r>
                    <m:t>x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α</m:t>
                  </m:r>
                  <m:r>
                    <m:rPr>
                      <m:sty m:val="p"/>
                    </m:rPr>
                    <m:t>,</m:t>
                  </m:r>
                  <m:r>
                    <m:t>β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t>I</m:t>
                  </m:r>
                </m:e>
                <m:sub>
                  <m:r>
                    <m:t>x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t>b</m:t>
                  </m:r>
                </m:e>
              </m:d>
            </m:oMath>
            <w:r>
              <w:t xml:space="preserve"> </w:t>
            </w:r>
            <w:r>
              <w:t xml:space="preserve">is the regularized incomplete beta function</w:t>
            </w:r>
          </w:p>
        </w:tc>
      </w:tr>
    </w:tbl>
    <w:p>
      <w:pPr>
        <w:pStyle w:val="BodyText"/>
      </w:pPr>
      <w:r>
        <w:rPr>
          <w:b/>
          <w:bCs/>
        </w:rPr>
        <w:t xml:space="preserve">Example:</w:t>
      </w:r>
      <w:r>
        <w:t xml:space="preserve"> </w:t>
      </w:r>
      <w:r>
        <w:t xml:space="preserve">Cantor’s Confectionery is visited by 10 customers, and 6 of them purchase something from the store. Taking the buying customers as successes and the total visiting customers as number of trials, there would be 6 successes, allowing you to find the following parameters:</w:t>
      </w:r>
    </w:p>
    <w:p>
      <w:pPr>
        <w:numPr>
          <w:ilvl w:val="0"/>
          <w:numId w:val="1002"/>
        </w:numPr>
      </w:pPr>
      <m:oMath>
        <m:r>
          <m:t>α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7</m:t>
        </m:r>
      </m:oMath>
    </w:p>
    <w:p>
      <w:pPr>
        <w:numPr>
          <w:ilvl w:val="0"/>
          <w:numId w:val="1002"/>
        </w:numPr>
      </w:pPr>
      <m:oMath>
        <m:r>
          <m:t>β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5</m:t>
        </m:r>
      </m:oMath>
    </w:p>
    <w:p>
      <w:pPr>
        <w:pStyle w:val="FirstParagraph"/>
      </w:pPr>
      <w:r>
        <w:t xml:space="preserve">Then the distribution of the probabilities of a customer purchasing from Cantor’s Confectionery can be expressed as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r>
          <m:rPr>
            <m:nor/>
            <m:sty m:val="p"/>
          </m:rPr>
          <m:t>Beta</m:t>
        </m:r>
        <m:d>
          <m:dPr>
            <m:begChr m:val="("/>
            <m:sepChr m:val=""/>
            <m:endChr m:val=")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, meaning the first shape parameter is 7 and the second shape parameter is 5.</w:t>
      </w:r>
    </w:p>
    <w:bookmarkStart w:id="26" w:name="further-reading"/>
    <w:p>
      <w:pPr>
        <w:pStyle w:val="Heading1"/>
      </w:pPr>
      <w:r>
        <w:t xml:space="preserve">Further reading</w:t>
      </w:r>
    </w:p>
    <w:p>
      <w:pPr>
        <w:pStyle w:val="FirstParagraph"/>
      </w:pPr>
      <w:hyperlink r:id="rId23">
        <w:r>
          <w:rPr>
            <w:rStyle w:val="Hyperlink"/>
          </w:rPr>
          <w:t xml:space="preserve">This interactive element appears in Overview: Probability distributions. Please click this link to go to the guide.</w:t>
        </w:r>
      </w:hyperlink>
    </w:p>
    <w:bookmarkStart w:id="25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initial version created 04/25 by tdhc and Michelle Arnetta as part of a University of St Andrews VIP project.</w:t>
      </w:r>
    </w:p>
    <w:p>
      <w:pPr>
        <w:pStyle w:val="Compact"/>
        <w:numPr>
          <w:ilvl w:val="0"/>
          <w:numId w:val="1003"/>
        </w:numPr>
      </w:pPr>
      <w:r>
        <w:t xml:space="preserve">v1.1: moved to factsheet form and populated with material from</w:t>
      </w:r>
      <w:r>
        <w:t xml:space="preserve"> </w:t>
      </w:r>
      <w:hyperlink r:id="rId23">
        <w:r>
          <w:rPr>
            <w:rStyle w:val="Hyperlink"/>
          </w:rPr>
          <w:t xml:space="preserve">Overview: Probability distributions</w:t>
        </w:r>
      </w:hyperlink>
      <w:r>
        <w:t xml:space="preserve"> </w:t>
      </w:r>
      <w:r>
        <w:t xml:space="preserve">by tdhc.</w:t>
      </w:r>
    </w:p>
    <w:p>
      <w:pPr>
        <w:pStyle w:val="FirstParagraph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3" Target="../overviews/o-distribution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overviews/o-distribution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Beta distribution</dc:title>
  <dc:creator>Michelle Arnetta and Tom Coleman</dc:creator>
  <cp:keywords/>
  <dcterms:created xsi:type="dcterms:W3CDTF">2026-04-16T12:24:54Z</dcterms:created>
  <dcterms:modified xsi:type="dcterms:W3CDTF">2026-04-16T12:24:54Z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factsheet about the beta distribution.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